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6.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7.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35A91" w14:textId="5E900CA5" w:rsidR="00274A1D" w:rsidRDefault="00D45913" w:rsidP="00830B0F">
      <w:pPr>
        <w:pStyle w:val="Sinespaciado"/>
        <w:jc w:val="right"/>
        <w:sectPr w:rsidR="00274A1D" w:rsidSect="00274A1D">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2268" w:left="1701" w:header="709" w:footer="709" w:gutter="0"/>
          <w:cols w:space="708"/>
          <w:docGrid w:linePitch="360"/>
        </w:sectPr>
      </w:pPr>
      <w:bookmarkStart w:id="0" w:name="_Toc85653534"/>
      <w:bookmarkStart w:id="1" w:name="_Toc90995803"/>
      <w:bookmarkStart w:id="2" w:name="_GoBack"/>
      <w:bookmarkEnd w:id="2"/>
      <w:r w:rsidRPr="00A03554">
        <w:rPr>
          <w:noProof/>
          <w:lang w:eastAsia="es-MX"/>
        </w:rPr>
        <w:drawing>
          <wp:anchor distT="0" distB="0" distL="114300" distR="114300" simplePos="0" relativeHeight="251681792" behindDoc="1" locked="0" layoutInCell="1" allowOverlap="1" wp14:anchorId="5741FB2B" wp14:editId="194D89AC">
            <wp:simplePos x="0" y="0"/>
            <wp:positionH relativeFrom="column">
              <wp:posOffset>-924560</wp:posOffset>
            </wp:positionH>
            <wp:positionV relativeFrom="paragraph">
              <wp:posOffset>-1824355</wp:posOffset>
            </wp:positionV>
            <wp:extent cx="7772400" cy="11019600"/>
            <wp:effectExtent l="0" t="0" r="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72400" cy="11019600"/>
                    </a:xfrm>
                    <a:prstGeom prst="rect">
                      <a:avLst/>
                    </a:prstGeom>
                  </pic:spPr>
                </pic:pic>
              </a:graphicData>
            </a:graphic>
            <wp14:sizeRelH relativeFrom="margin">
              <wp14:pctWidth>0</wp14:pctWidth>
            </wp14:sizeRelH>
            <wp14:sizeRelV relativeFrom="margin">
              <wp14:pctHeight>0</wp14:pctHeight>
            </wp14:sizeRelV>
          </wp:anchor>
        </w:drawing>
      </w:r>
      <w:r w:rsidR="0082751F">
        <w:rPr>
          <w:noProof/>
          <w:lang w:eastAsia="es-MX"/>
        </w:rPr>
        <mc:AlternateContent>
          <mc:Choice Requires="wps">
            <w:drawing>
              <wp:anchor distT="0" distB="0" distL="114300" distR="114300" simplePos="0" relativeHeight="251661312" behindDoc="0" locked="0" layoutInCell="1" allowOverlap="1" wp14:anchorId="73D1B683" wp14:editId="14F12017">
                <wp:simplePos x="0" y="0"/>
                <wp:positionH relativeFrom="column">
                  <wp:posOffset>1960520</wp:posOffset>
                </wp:positionH>
                <wp:positionV relativeFrom="paragraph">
                  <wp:posOffset>4056677</wp:posOffset>
                </wp:positionV>
                <wp:extent cx="4148455" cy="1299991"/>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148455" cy="1299991"/>
                        </a:xfrm>
                        <a:prstGeom prst="rect">
                          <a:avLst/>
                        </a:prstGeom>
                        <a:noFill/>
                        <a:ln w="6350">
                          <a:noFill/>
                        </a:ln>
                      </wps:spPr>
                      <wps:txbx>
                        <w:txbxContent>
                          <w:p w14:paraId="4EAFDFBB" w14:textId="062CF16F" w:rsidR="00217A05" w:rsidRDefault="00217A05" w:rsidP="005F78F2">
                            <w:pPr>
                              <w:rPr>
                                <w:rFonts w:ascii="Helvetica Neue Light" w:hAnsi="Helvetica Neue Light"/>
                                <w:color w:val="565858"/>
                                <w:sz w:val="24"/>
                                <w:lang w:val="es-ES"/>
                              </w:rPr>
                            </w:pPr>
                            <w:r>
                              <w:rPr>
                                <w:rFonts w:ascii="Helvetica Neue Light" w:hAnsi="Helvetica Neue Light"/>
                                <w:color w:val="565858"/>
                                <w:sz w:val="24"/>
                                <w:lang w:val="es-ES"/>
                              </w:rPr>
                              <w:t>ELABOR</w:t>
                            </w:r>
                            <w:r w:rsidR="00AB33CD">
                              <w:rPr>
                                <w:rFonts w:ascii="Helvetica Neue Light" w:hAnsi="Helvetica Neue Light"/>
                                <w:color w:val="565858"/>
                                <w:sz w:val="24"/>
                                <w:lang w:val="es-ES"/>
                              </w:rPr>
                              <w:t>Ó</w:t>
                            </w:r>
                            <w:r>
                              <w:rPr>
                                <w:rFonts w:ascii="Helvetica Neue Light" w:hAnsi="Helvetica Neue Light"/>
                                <w:color w:val="565858"/>
                                <w:sz w:val="24"/>
                                <w:lang w:val="es-ES"/>
                              </w:rPr>
                              <w:t>:</w:t>
                            </w:r>
                            <w:r w:rsidR="003700B2">
                              <w:rPr>
                                <w:rFonts w:ascii="Helvetica Neue Light" w:hAnsi="Helvetica Neue Light"/>
                                <w:color w:val="565858"/>
                                <w:sz w:val="24"/>
                                <w:lang w:val="es-ES"/>
                              </w:rPr>
                              <w:t xml:space="preserve"> PASTOR MARTÍNEZ BRIANDA GUADALUPE.</w:t>
                            </w:r>
                          </w:p>
                          <w:p w14:paraId="0536F430" w14:textId="0092DD28" w:rsidR="0082751F" w:rsidRDefault="00301C24" w:rsidP="005F78F2">
                            <w:pPr>
                              <w:rPr>
                                <w:rFonts w:ascii="Helvetica Neue Light" w:hAnsi="Helvetica Neue Light"/>
                                <w:color w:val="565858"/>
                                <w:sz w:val="24"/>
                                <w:lang w:val="es-ES"/>
                              </w:rPr>
                            </w:pPr>
                            <w:r>
                              <w:rPr>
                                <w:rFonts w:ascii="Helvetica Neue Light" w:hAnsi="Helvetica Neue Light"/>
                                <w:color w:val="565858"/>
                                <w:sz w:val="24"/>
                                <w:lang w:val="es-ES"/>
                              </w:rPr>
                              <w:t xml:space="preserve">                  </w:t>
                            </w:r>
                            <w:r w:rsidR="008C017D">
                              <w:rPr>
                                <w:rFonts w:ascii="Helvetica Neue Light" w:hAnsi="Helvetica Neue Light"/>
                                <w:color w:val="565858"/>
                                <w:sz w:val="24"/>
                                <w:lang w:val="es-ES"/>
                              </w:rPr>
                              <w:t xml:space="preserve">   </w:t>
                            </w:r>
                            <w:r w:rsidR="0082751F">
                              <w:rPr>
                                <w:rFonts w:ascii="Helvetica Neue Light" w:hAnsi="Helvetica Neue Light"/>
                                <w:color w:val="565858"/>
                                <w:sz w:val="24"/>
                                <w:lang w:val="es-ES"/>
                              </w:rPr>
                              <w:t>MONTES CABRERA ARAM YAEL.</w:t>
                            </w:r>
                          </w:p>
                          <w:p w14:paraId="17916408" w14:textId="699B6D63" w:rsidR="005F78F2" w:rsidRPr="005F78F2" w:rsidRDefault="00217A05" w:rsidP="005F78F2">
                            <w:pPr>
                              <w:rPr>
                                <w:rFonts w:ascii="Helvetica Neue Light" w:hAnsi="Helvetica Neue Light"/>
                                <w:color w:val="565858"/>
                              </w:rPr>
                            </w:pPr>
                            <w:r>
                              <w:rPr>
                                <w:rFonts w:ascii="Helvetica Neue Light" w:hAnsi="Helvetica Neue Light"/>
                                <w:color w:val="565858"/>
                              </w:rPr>
                              <w:t>CARRERA</w:t>
                            </w:r>
                            <w:r w:rsidR="00B62441">
                              <w:rPr>
                                <w:rFonts w:ascii="Helvetica Neue Light" w:hAnsi="Helvetica Neue Light"/>
                                <w:color w:val="565858"/>
                              </w:rPr>
                              <w:t>:</w:t>
                            </w:r>
                            <w:r w:rsidR="003700B2">
                              <w:rPr>
                                <w:rFonts w:ascii="Helvetica Neue Light" w:hAnsi="Helvetica Neue Light"/>
                                <w:color w:val="565858"/>
                              </w:rPr>
                              <w:t xml:space="preserve"> DERECHO.</w:t>
                            </w:r>
                          </w:p>
                          <w:p w14:paraId="229FBDB7" w14:textId="3FB742B3" w:rsidR="006746B5" w:rsidRPr="005F78F2" w:rsidRDefault="006746B5" w:rsidP="005A7A9C">
                            <w:pPr>
                              <w:rPr>
                                <w:rFonts w:ascii="Helvetica Neue Light" w:hAnsi="Helvetica Neue Light"/>
                                <w:color w:val="565858"/>
                              </w:rPr>
                            </w:pPr>
                          </w:p>
                          <w:p w14:paraId="644A98AA" w14:textId="3CDDC372" w:rsidR="00274A1D" w:rsidRPr="00274A1D" w:rsidRDefault="00274A1D" w:rsidP="00274A1D">
                            <w:pPr>
                              <w:rPr>
                                <w:rFonts w:ascii="Helvetica Neue Light" w:hAnsi="Helvetica Neue Light"/>
                                <w:color w:val="565858"/>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54.35pt;margin-top:319.4pt;width:326.65pt;height:10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" filled="f" stroked="f" strokeweight=".5pt">
                <v:textbox>
                  <w:txbxContent>
                    <w:p w14:paraId="4EAFDFBB" w14:textId="062CF16F" w:rsidR="00217A05" w:rsidRDefault="00217A05" w:rsidP="005F78F2">
                      <w:pPr>
                        <w:rPr>
                          <w:rFonts w:ascii="Helvetica Neue Light" w:hAnsi="Helvetica Neue Light"/>
                          <w:color w:val="565858"/>
                          <w:sz w:val="24"/>
                          <w:lang w:val="es-ES"/>
                        </w:rPr>
                      </w:pPr>
                      <w:r>
                        <w:rPr>
                          <w:rFonts w:ascii="Helvetica Neue Light" w:hAnsi="Helvetica Neue Light"/>
                          <w:color w:val="565858"/>
                          <w:sz w:val="24"/>
                          <w:lang w:val="es-ES"/>
                        </w:rPr>
                        <w:t>ELABOR</w:t>
                      </w:r>
                      <w:r w:rsidR="00AB33CD">
                        <w:rPr>
                          <w:rFonts w:ascii="Helvetica Neue Light" w:hAnsi="Helvetica Neue Light"/>
                          <w:color w:val="565858"/>
                          <w:sz w:val="24"/>
                          <w:lang w:val="es-ES"/>
                        </w:rPr>
                        <w:t>Ó</w:t>
                      </w:r>
                      <w:r>
                        <w:rPr>
                          <w:rFonts w:ascii="Helvetica Neue Light" w:hAnsi="Helvetica Neue Light"/>
                          <w:color w:val="565858"/>
                          <w:sz w:val="24"/>
                          <w:lang w:val="es-ES"/>
                        </w:rPr>
                        <w:t>:</w:t>
                      </w:r>
                      <w:r w:rsidR="003700B2">
                        <w:rPr>
                          <w:rFonts w:ascii="Helvetica Neue Light" w:hAnsi="Helvetica Neue Light"/>
                          <w:color w:val="565858"/>
                          <w:sz w:val="24"/>
                          <w:lang w:val="es-ES"/>
                        </w:rPr>
                        <w:t xml:space="preserve"> PASTOR MARTÍNEZ BRIANDA GUADALUPE.</w:t>
                      </w:r>
                    </w:p>
                    <w:p w14:paraId="0536F430" w14:textId="0092DD28" w:rsidR="0082751F" w:rsidRDefault="00301C24" w:rsidP="005F78F2">
                      <w:pPr>
                        <w:rPr>
                          <w:rFonts w:ascii="Helvetica Neue Light" w:hAnsi="Helvetica Neue Light"/>
                          <w:color w:val="565858"/>
                          <w:sz w:val="24"/>
                          <w:lang w:val="es-ES"/>
                        </w:rPr>
                      </w:pPr>
                      <w:r>
                        <w:rPr>
                          <w:rFonts w:ascii="Helvetica Neue Light" w:hAnsi="Helvetica Neue Light"/>
                          <w:color w:val="565858"/>
                          <w:sz w:val="24"/>
                          <w:lang w:val="es-ES"/>
                        </w:rPr>
                        <w:t xml:space="preserve">                  </w:t>
                      </w:r>
                      <w:r w:rsidR="008C017D">
                        <w:rPr>
                          <w:rFonts w:ascii="Helvetica Neue Light" w:hAnsi="Helvetica Neue Light"/>
                          <w:color w:val="565858"/>
                          <w:sz w:val="24"/>
                          <w:lang w:val="es-ES"/>
                        </w:rPr>
                        <w:t xml:space="preserve">   </w:t>
                      </w:r>
                      <w:r w:rsidR="0082751F">
                        <w:rPr>
                          <w:rFonts w:ascii="Helvetica Neue Light" w:hAnsi="Helvetica Neue Light"/>
                          <w:color w:val="565858"/>
                          <w:sz w:val="24"/>
                          <w:lang w:val="es-ES"/>
                        </w:rPr>
                        <w:t>MONTES CABRERA ARAM YAEL.</w:t>
                      </w:r>
                    </w:p>
                    <w:p w14:paraId="17916408" w14:textId="699B6D63" w:rsidR="005F78F2" w:rsidRPr="005F78F2" w:rsidRDefault="00217A05" w:rsidP="005F78F2">
                      <w:pPr>
                        <w:rPr>
                          <w:rFonts w:ascii="Helvetica Neue Light" w:hAnsi="Helvetica Neue Light"/>
                          <w:color w:val="565858"/>
                        </w:rPr>
                      </w:pPr>
                      <w:r>
                        <w:rPr>
                          <w:rFonts w:ascii="Helvetica Neue Light" w:hAnsi="Helvetica Neue Light"/>
                          <w:color w:val="565858"/>
                        </w:rPr>
                        <w:t>CARRERA</w:t>
                      </w:r>
                      <w:r w:rsidR="00B62441">
                        <w:rPr>
                          <w:rFonts w:ascii="Helvetica Neue Light" w:hAnsi="Helvetica Neue Light"/>
                          <w:color w:val="565858"/>
                        </w:rPr>
                        <w:t>:</w:t>
                      </w:r>
                      <w:r w:rsidR="003700B2">
                        <w:rPr>
                          <w:rFonts w:ascii="Helvetica Neue Light" w:hAnsi="Helvetica Neue Light"/>
                          <w:color w:val="565858"/>
                        </w:rPr>
                        <w:t xml:space="preserve"> DERECHO.</w:t>
                      </w:r>
                    </w:p>
                    <w:p w14:paraId="229FBDB7" w14:textId="3FB742B3" w:rsidR="006746B5" w:rsidRPr="005F78F2" w:rsidRDefault="006746B5" w:rsidP="005A7A9C">
                      <w:pPr>
                        <w:rPr>
                          <w:rFonts w:ascii="Helvetica Neue Light" w:hAnsi="Helvetica Neue Light"/>
                          <w:color w:val="565858"/>
                        </w:rPr>
                      </w:pPr>
                    </w:p>
                    <w:p w14:paraId="644A98AA" w14:textId="3CDDC372" w:rsidR="00274A1D" w:rsidRPr="00274A1D" w:rsidRDefault="00274A1D" w:rsidP="00274A1D">
                      <w:pPr>
                        <w:rPr>
                          <w:rFonts w:ascii="Helvetica Neue Light" w:hAnsi="Helvetica Neue Light"/>
                          <w:color w:val="565858"/>
                          <w:sz w:val="36"/>
                          <w:szCs w:val="36"/>
                          <w:lang w:val="es-ES"/>
                        </w:rPr>
                      </w:pPr>
                    </w:p>
                  </w:txbxContent>
                </v:textbox>
              </v:shape>
            </w:pict>
          </mc:Fallback>
        </mc:AlternateContent>
      </w:r>
      <w:bookmarkStart w:id="3" w:name="_Hlk90559933"/>
      <w:bookmarkEnd w:id="3"/>
      <w:r w:rsidR="00274A1D">
        <w:rPr>
          <w:noProof/>
          <w:lang w:eastAsia="es-MX"/>
        </w:rPr>
        <mc:AlternateContent>
          <mc:Choice Requires="wps">
            <w:drawing>
              <wp:anchor distT="0" distB="0" distL="114300" distR="114300" simplePos="0" relativeHeight="251662336" behindDoc="0" locked="0" layoutInCell="1" allowOverlap="1" wp14:anchorId="48C49293" wp14:editId="7BA5D475">
                <wp:simplePos x="0" y="0"/>
                <wp:positionH relativeFrom="column">
                  <wp:posOffset>1955165</wp:posOffset>
                </wp:positionH>
                <wp:positionV relativeFrom="paragraph">
                  <wp:posOffset>3973195</wp:posOffset>
                </wp:positionV>
                <wp:extent cx="4148455" cy="0"/>
                <wp:effectExtent l="0" t="0" r="17145" b="12700"/>
                <wp:wrapNone/>
                <wp:docPr id="6" name="Conector recto 6"/>
                <wp:cNvGraphicFramePr/>
                <a:graphic xmlns:a="http://schemas.openxmlformats.org/drawingml/2006/main">
                  <a:graphicData uri="http://schemas.microsoft.com/office/word/2010/wordprocessingShape">
                    <wps:wsp>
                      <wps:cNvCnPr/>
                      <wps:spPr>
                        <a:xfrm>
                          <a:off x="0" y="0"/>
                          <a:ext cx="4148455" cy="0"/>
                        </a:xfrm>
                        <a:prstGeom prst="line">
                          <a:avLst/>
                        </a:prstGeom>
                        <a:ln w="12700">
                          <a:solidFill>
                            <a:srgbClr val="A4CBC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3.95pt,312.85pt" to="480.6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" strokecolor="#a4cbc9" strokeweight="1pt">
                <v:stroke joinstyle="miter"/>
              </v:line>
            </w:pict>
          </mc:Fallback>
        </mc:AlternateContent>
      </w:r>
      <w:r w:rsidR="00274A1D">
        <w:rPr>
          <w:noProof/>
          <w:lang w:eastAsia="es-MX"/>
        </w:rPr>
        <mc:AlternateContent>
          <mc:Choice Requires="wps">
            <w:drawing>
              <wp:anchor distT="0" distB="0" distL="114300" distR="114300" simplePos="0" relativeHeight="251659264" behindDoc="0" locked="0" layoutInCell="1" allowOverlap="1" wp14:anchorId="19E53EB8" wp14:editId="4D89B60A">
                <wp:simplePos x="0" y="0"/>
                <wp:positionH relativeFrom="column">
                  <wp:posOffset>1961016</wp:posOffset>
                </wp:positionH>
                <wp:positionV relativeFrom="paragraph">
                  <wp:posOffset>1615390</wp:posOffset>
                </wp:positionV>
                <wp:extent cx="4148455" cy="227688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148455" cy="2276889"/>
                        </a:xfrm>
                        <a:prstGeom prst="rect">
                          <a:avLst/>
                        </a:prstGeom>
                        <a:noFill/>
                        <a:ln w="6350">
                          <a:noFill/>
                        </a:ln>
                      </wps:spPr>
                      <wps:txbx>
                        <w:txbxContent>
                          <w:p w14:paraId="084DDCB5" w14:textId="23A8F9F1" w:rsidR="00274A1D" w:rsidRPr="00274A1D" w:rsidRDefault="00AB33CD" w:rsidP="00AB33CD">
                            <w:pPr>
                              <w:jc w:val="center"/>
                              <w:rPr>
                                <w:rFonts w:ascii="HELVETICA NEUE CONDENSED" w:hAnsi="HELVETICA NEUE CONDENSED"/>
                                <w:b/>
                                <w:bCs/>
                                <w:color w:val="00285F"/>
                                <w:sz w:val="60"/>
                                <w:szCs w:val="60"/>
                                <w:lang w:val="es-ES"/>
                              </w:rPr>
                            </w:pPr>
                            <w:r>
                              <w:rPr>
                                <w:rFonts w:ascii="HELVETICA NEUE CONDENSED" w:hAnsi="HELVETICA NEUE CONDENSED"/>
                                <w:b/>
                                <w:bCs/>
                                <w:color w:val="00285F"/>
                                <w:sz w:val="60"/>
                                <w:szCs w:val="60"/>
                                <w:lang w:val="es-ES"/>
                              </w:rPr>
                              <w:t>CUENTA PÚBLICA DEL ESTADO DE MÉXICO: 2020.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left:0;text-align:left;margin-left:154.4pt;margin-top:127.2pt;width:326.65pt;height:1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" filled="f" stroked="f" strokeweight=".5pt">
                <v:textbox>
                  <w:txbxContent>
                    <w:p w14:paraId="084DDCB5" w14:textId="23A8F9F1" w:rsidR="00274A1D" w:rsidRPr="00274A1D" w:rsidRDefault="00AB33CD" w:rsidP="00AB33CD">
                      <w:pPr>
                        <w:jc w:val="center"/>
                        <w:rPr>
                          <w:rFonts w:ascii="HELVETICA NEUE CONDENSED" w:hAnsi="HELVETICA NEUE CONDENSED"/>
                          <w:b/>
                          <w:bCs/>
                          <w:color w:val="00285F"/>
                          <w:sz w:val="60"/>
                          <w:szCs w:val="60"/>
                          <w:lang w:val="es-ES"/>
                        </w:rPr>
                      </w:pPr>
                      <w:r>
                        <w:rPr>
                          <w:rFonts w:ascii="HELVETICA NEUE CONDENSED" w:hAnsi="HELVETICA NEUE CONDENSED"/>
                          <w:b/>
                          <w:bCs/>
                          <w:color w:val="00285F"/>
                          <w:sz w:val="60"/>
                          <w:szCs w:val="60"/>
                          <w:lang w:val="es-ES"/>
                        </w:rPr>
                        <w:t>CUENTA PÚBLICA DEL ESTADO DE MÉXICO: 2020.</w:t>
                      </w:r>
                    </w:p>
                  </w:txbxContent>
                </v:textbox>
              </v:shape>
            </w:pict>
          </mc:Fallback>
        </mc:AlternateContent>
      </w:r>
      <w:bookmarkEnd w:id="0"/>
      <w:bookmarkEnd w:id="1"/>
    </w:p>
    <w:bookmarkStart w:id="4" w:name="_Hlk73108967" w:displacedByCustomXml="next"/>
    <w:bookmarkEnd w:id="4" w:displacedByCustomXml="next"/>
    <w:sdt>
      <w:sdtPr>
        <w:rPr>
          <w:rFonts w:ascii="Times New Roman" w:eastAsia="Times New Roman" w:hAnsi="Times New Roman" w:cs="Times New Roman"/>
          <w:sz w:val="24"/>
          <w:szCs w:val="24"/>
          <w:lang w:val="es-AR" w:eastAsia="es-AR"/>
        </w:rPr>
        <w:id w:val="-94257991"/>
        <w:docPartObj>
          <w:docPartGallery w:val="Cover Pages"/>
          <w:docPartUnique/>
        </w:docPartObj>
      </w:sdtPr>
      <w:sdtEndPr/>
      <w:sdtContent>
        <w:p w14:paraId="42F75D31" w14:textId="135B882E" w:rsidR="005F78F2" w:rsidRDefault="005F78F2" w:rsidP="00830B0F">
          <w:pPr>
            <w:tabs>
              <w:tab w:val="left" w:pos="3705"/>
            </w:tabs>
            <w:jc w:val="right"/>
          </w:pPr>
          <w:r>
            <w:tab/>
          </w:r>
          <w:r w:rsidR="00724C3C">
            <w:t xml:space="preserve"> </w:t>
          </w:r>
        </w:p>
        <w:p w14:paraId="0E3B9823" w14:textId="77777777" w:rsidR="005F78F2" w:rsidRDefault="005F78F2" w:rsidP="00830B0F">
          <w:pPr>
            <w:jc w:val="right"/>
          </w:pPr>
        </w:p>
        <w:p w14:paraId="2E67CCE6" w14:textId="77777777" w:rsidR="005F78F2" w:rsidRDefault="005F78F2" w:rsidP="00830B0F">
          <w:pPr>
            <w:jc w:val="right"/>
          </w:pPr>
        </w:p>
        <w:p w14:paraId="41A7E454" w14:textId="77777777" w:rsidR="005F78F2" w:rsidRDefault="005F78F2" w:rsidP="00830B0F">
          <w:pPr>
            <w:jc w:val="right"/>
          </w:pPr>
        </w:p>
        <w:p w14:paraId="54102065" w14:textId="77777777" w:rsidR="005F78F2" w:rsidRDefault="005F78F2" w:rsidP="00830B0F">
          <w:pPr>
            <w:jc w:val="right"/>
          </w:pPr>
        </w:p>
        <w:p w14:paraId="67B45445" w14:textId="77777777" w:rsidR="005F78F2" w:rsidRDefault="005F78F2" w:rsidP="00830B0F">
          <w:pPr>
            <w:jc w:val="right"/>
          </w:pPr>
        </w:p>
        <w:p w14:paraId="20D13D60" w14:textId="77777777" w:rsidR="005F78F2" w:rsidRDefault="005F78F2" w:rsidP="00830B0F">
          <w:pPr>
            <w:jc w:val="right"/>
          </w:pPr>
        </w:p>
        <w:p w14:paraId="3BF440F1" w14:textId="77777777" w:rsidR="005F78F2" w:rsidRDefault="005F78F2" w:rsidP="00830B0F">
          <w:pPr>
            <w:jc w:val="right"/>
          </w:pPr>
        </w:p>
        <w:p w14:paraId="6892921B" w14:textId="77777777" w:rsidR="005F78F2" w:rsidRDefault="005F78F2" w:rsidP="00830B0F">
          <w:pPr>
            <w:jc w:val="right"/>
          </w:pPr>
        </w:p>
        <w:p w14:paraId="36BFE472" w14:textId="77777777" w:rsidR="005F78F2" w:rsidRDefault="005F78F2" w:rsidP="00830B0F">
          <w:pPr>
            <w:jc w:val="right"/>
          </w:pPr>
        </w:p>
        <w:p w14:paraId="26E4EF06" w14:textId="77777777" w:rsidR="005F78F2" w:rsidRDefault="005F78F2" w:rsidP="00830B0F">
          <w:pPr>
            <w:jc w:val="right"/>
          </w:pPr>
        </w:p>
        <w:p w14:paraId="57C203DE" w14:textId="77777777" w:rsidR="005F78F2" w:rsidRDefault="005F78F2" w:rsidP="00830B0F">
          <w:pPr>
            <w:jc w:val="right"/>
          </w:pPr>
        </w:p>
        <w:p w14:paraId="366970DB" w14:textId="77777777" w:rsidR="005F78F2" w:rsidRDefault="005F78F2" w:rsidP="00830B0F">
          <w:pPr>
            <w:jc w:val="right"/>
          </w:pPr>
        </w:p>
        <w:p w14:paraId="60E4BCDD" w14:textId="5538B690" w:rsidR="005F78F2" w:rsidRDefault="005F78F2" w:rsidP="00830B0F">
          <w:pPr>
            <w:jc w:val="right"/>
          </w:pPr>
        </w:p>
        <w:p w14:paraId="7BC092D1" w14:textId="25CD5A55" w:rsidR="005F78F2" w:rsidRDefault="005F78F2" w:rsidP="00830B0F">
          <w:pPr>
            <w:jc w:val="right"/>
          </w:pPr>
        </w:p>
        <w:p w14:paraId="520F32D7" w14:textId="2C1E3248" w:rsidR="005F78F2" w:rsidRDefault="005F78F2" w:rsidP="00830B0F">
          <w:pPr>
            <w:jc w:val="right"/>
          </w:pPr>
        </w:p>
        <w:p w14:paraId="1D7BB545" w14:textId="2DE5EBFD" w:rsidR="005F78F2" w:rsidRDefault="005F78F2" w:rsidP="00830B0F">
          <w:pPr>
            <w:jc w:val="right"/>
          </w:pPr>
        </w:p>
        <w:p w14:paraId="689B0D2B" w14:textId="1F5516AC" w:rsidR="005F78F2" w:rsidRDefault="005F78F2" w:rsidP="00830B0F">
          <w:pPr>
            <w:jc w:val="right"/>
          </w:pPr>
        </w:p>
        <w:p w14:paraId="1E53751D" w14:textId="02C0AEF5" w:rsidR="005F78F2" w:rsidRDefault="005F78F2" w:rsidP="00830B0F">
          <w:pPr>
            <w:jc w:val="right"/>
          </w:pPr>
        </w:p>
        <w:p w14:paraId="09115696" w14:textId="449698D5" w:rsidR="005F78F2" w:rsidRDefault="005F78F2" w:rsidP="00830B0F">
          <w:pPr>
            <w:jc w:val="right"/>
          </w:pPr>
        </w:p>
        <w:p w14:paraId="6072090E" w14:textId="11D24A96" w:rsidR="00F36B86" w:rsidRDefault="00F36B86" w:rsidP="00830B0F">
          <w:pPr>
            <w:jc w:val="right"/>
          </w:pPr>
        </w:p>
        <w:p w14:paraId="4B841091" w14:textId="247C6DBC" w:rsidR="00F36B86" w:rsidRDefault="00F36B86" w:rsidP="00830B0F">
          <w:pPr>
            <w:jc w:val="right"/>
          </w:pPr>
        </w:p>
        <w:p w14:paraId="548A7DB8" w14:textId="6005CD10" w:rsidR="00F36B86" w:rsidRDefault="00F36B86" w:rsidP="00830B0F">
          <w:pPr>
            <w:jc w:val="right"/>
          </w:pPr>
        </w:p>
        <w:p w14:paraId="5998DB1E" w14:textId="581AF4D9" w:rsidR="00F36B86" w:rsidRDefault="00F36B86" w:rsidP="00830B0F">
          <w:pPr>
            <w:jc w:val="right"/>
          </w:pPr>
        </w:p>
        <w:p w14:paraId="1D3018B4" w14:textId="59306C22" w:rsidR="00F36B86" w:rsidRDefault="00F36B86" w:rsidP="00830B0F">
          <w:pPr>
            <w:jc w:val="right"/>
          </w:pPr>
        </w:p>
        <w:p w14:paraId="31B13DC7" w14:textId="779BC492" w:rsidR="00F36B86" w:rsidRDefault="00F36B86" w:rsidP="00830B0F">
          <w:pPr>
            <w:jc w:val="right"/>
          </w:pPr>
        </w:p>
        <w:p w14:paraId="2DD1079B" w14:textId="77777777" w:rsidR="00F36B86" w:rsidRDefault="00F36B86" w:rsidP="00830B0F">
          <w:pPr>
            <w:jc w:val="right"/>
          </w:pPr>
        </w:p>
        <w:p w14:paraId="4603CC48" w14:textId="77777777" w:rsidR="005F78F2" w:rsidRDefault="005F78F2" w:rsidP="00830B0F">
          <w:pPr>
            <w:jc w:val="right"/>
          </w:pPr>
        </w:p>
        <w:p w14:paraId="6F58EDE4" w14:textId="0F942CD7" w:rsidR="005F78F2" w:rsidRDefault="005F78F2" w:rsidP="00830B0F">
          <w:pPr>
            <w:jc w:val="right"/>
          </w:pPr>
        </w:p>
        <w:p w14:paraId="4288DDB1" w14:textId="17ADA1E0" w:rsidR="00F64E82" w:rsidRDefault="00F64E82" w:rsidP="00830B0F">
          <w:pPr>
            <w:jc w:val="right"/>
          </w:pPr>
        </w:p>
        <w:p w14:paraId="7B27C84B" w14:textId="403BCEBF" w:rsidR="00F64E82" w:rsidRDefault="00F64E82" w:rsidP="00830B0F">
          <w:pPr>
            <w:jc w:val="right"/>
          </w:pPr>
        </w:p>
        <w:p w14:paraId="517745A2" w14:textId="67B7464B" w:rsidR="00F64E82" w:rsidRDefault="00F64E82" w:rsidP="00830B0F">
          <w:pPr>
            <w:jc w:val="right"/>
          </w:pPr>
        </w:p>
        <w:p w14:paraId="7D10A168" w14:textId="020CFDC8" w:rsidR="00F64E82" w:rsidRDefault="00F64E82" w:rsidP="00830B0F">
          <w:pPr>
            <w:jc w:val="right"/>
          </w:pPr>
        </w:p>
        <w:p w14:paraId="4770A3D1" w14:textId="474971AE" w:rsidR="00F64E82" w:rsidRDefault="00F64E82" w:rsidP="00830B0F">
          <w:pPr>
            <w:jc w:val="right"/>
          </w:pPr>
        </w:p>
        <w:p w14:paraId="679AE824" w14:textId="3CC8954E" w:rsidR="00F64E82" w:rsidRDefault="00F64E82" w:rsidP="00830B0F">
          <w:pPr>
            <w:jc w:val="right"/>
          </w:pPr>
        </w:p>
        <w:p w14:paraId="76149E36" w14:textId="10066565" w:rsidR="00F64E82" w:rsidRDefault="00F64E82" w:rsidP="00830B0F">
          <w:pPr>
            <w:jc w:val="right"/>
          </w:pPr>
        </w:p>
        <w:p w14:paraId="606C9D32" w14:textId="41D76845" w:rsidR="00F64E82" w:rsidRDefault="00F64E82" w:rsidP="00830B0F">
          <w:pPr>
            <w:jc w:val="right"/>
          </w:pPr>
        </w:p>
        <w:p w14:paraId="7FC8087D" w14:textId="37FA930E" w:rsidR="00F64E82" w:rsidRDefault="00F64E82" w:rsidP="00830B0F">
          <w:pPr>
            <w:jc w:val="right"/>
          </w:pPr>
        </w:p>
        <w:p w14:paraId="22E84C71" w14:textId="44C9420C" w:rsidR="00F64E82" w:rsidRDefault="00F64E82" w:rsidP="00830B0F">
          <w:pPr>
            <w:jc w:val="right"/>
          </w:pPr>
        </w:p>
        <w:p w14:paraId="77F7ACA2" w14:textId="73A6C0BA" w:rsidR="00F64E82" w:rsidRDefault="00F64E82" w:rsidP="00830B0F">
          <w:pPr>
            <w:jc w:val="right"/>
          </w:pPr>
        </w:p>
        <w:p w14:paraId="5F3CA5C4" w14:textId="34B03655" w:rsidR="00F64E82" w:rsidRDefault="00F64E82" w:rsidP="00830B0F">
          <w:pPr>
            <w:jc w:val="right"/>
          </w:pPr>
        </w:p>
        <w:p w14:paraId="67212475" w14:textId="7D808493" w:rsidR="00F64E82" w:rsidRDefault="00F64E82" w:rsidP="00830B0F">
          <w:pPr>
            <w:jc w:val="right"/>
          </w:pPr>
        </w:p>
        <w:p w14:paraId="466B0712" w14:textId="12FB0732" w:rsidR="00F64E82" w:rsidRDefault="00F64E82" w:rsidP="00830B0F">
          <w:pPr>
            <w:jc w:val="right"/>
          </w:pPr>
        </w:p>
        <w:p w14:paraId="434FD1D8" w14:textId="68322CA6" w:rsidR="00F64E82" w:rsidRDefault="00F64E82" w:rsidP="00830B0F">
          <w:pPr>
            <w:jc w:val="right"/>
          </w:pPr>
        </w:p>
        <w:p w14:paraId="67E7CCB2" w14:textId="42A4B430" w:rsidR="00F64E82" w:rsidRDefault="00F64E82" w:rsidP="00830B0F">
          <w:pPr>
            <w:jc w:val="right"/>
          </w:pPr>
        </w:p>
        <w:p w14:paraId="43A16204" w14:textId="2139FF5C" w:rsidR="00F64E82" w:rsidRDefault="00F64E82" w:rsidP="00830B0F">
          <w:pPr>
            <w:jc w:val="right"/>
          </w:pPr>
        </w:p>
        <w:p w14:paraId="6A10D059" w14:textId="2215DB4C" w:rsidR="00F64E82" w:rsidRDefault="00F64E82" w:rsidP="00830B0F">
          <w:pPr>
            <w:jc w:val="right"/>
          </w:pPr>
        </w:p>
        <w:p w14:paraId="3B8ABAD7" w14:textId="77777777" w:rsidR="00F64E82" w:rsidRDefault="00F64E82" w:rsidP="00830B0F">
          <w:pPr>
            <w:jc w:val="right"/>
          </w:pPr>
        </w:p>
        <w:p w14:paraId="6326EF99" w14:textId="77777777" w:rsidR="005F78F2" w:rsidRDefault="005F78F2" w:rsidP="00830B0F">
          <w:pPr>
            <w:jc w:val="right"/>
          </w:pPr>
        </w:p>
        <w:p w14:paraId="09DF0B5B" w14:textId="0A33E0E7" w:rsidR="005F78F2" w:rsidRPr="005F78F2" w:rsidRDefault="005F78F2" w:rsidP="00830B0F">
          <w:pPr>
            <w:jc w:val="both"/>
            <w:rPr>
              <w:rFonts w:ascii="Arial" w:hAnsi="Arial" w:cs="Arial"/>
              <w:color w:val="161905"/>
            </w:rPr>
          </w:pPr>
          <w:r w:rsidRPr="002C4D03">
            <w:rPr>
              <w:rStyle w:val="jsgrdq"/>
              <w:rFonts w:ascii="Arial" w:hAnsi="Arial" w:cs="Arial"/>
              <w:color w:val="161905"/>
            </w:rPr>
            <w:t xml:space="preserve">Instituto de Estudios Legislativos, Estado de México, </w:t>
          </w:r>
          <w:r w:rsidR="00ED361E">
            <w:rPr>
              <w:rStyle w:val="jsgrdq"/>
              <w:rFonts w:ascii="Arial" w:hAnsi="Arial" w:cs="Arial"/>
              <w:color w:val="161905"/>
            </w:rPr>
            <w:t>Av. Hidalgo Poniente, Número 405</w:t>
          </w:r>
          <w:r w:rsidRPr="002C4D03">
            <w:rPr>
              <w:rStyle w:val="jsgrdq"/>
              <w:rFonts w:ascii="Arial" w:hAnsi="Arial" w:cs="Arial"/>
              <w:color w:val="161905"/>
            </w:rPr>
            <w:t>, Colonia de la Merced Alameda,</w:t>
          </w:r>
          <w:r w:rsidR="00B62441">
            <w:rPr>
              <w:rStyle w:val="jsgrdq"/>
              <w:rFonts w:ascii="Arial" w:hAnsi="Arial" w:cs="Arial"/>
              <w:color w:val="161905"/>
            </w:rPr>
            <w:t xml:space="preserve"> </w:t>
          </w:r>
          <w:r w:rsidRPr="002C4D03">
            <w:rPr>
              <w:rStyle w:val="jsgrdq"/>
              <w:rFonts w:ascii="Arial" w:hAnsi="Arial" w:cs="Arial"/>
              <w:color w:val="161905"/>
            </w:rPr>
            <w:t>C.P. 5</w:t>
          </w:r>
          <w:r w:rsidR="006020C7">
            <w:rPr>
              <w:rStyle w:val="jsgrdq"/>
              <w:rFonts w:ascii="Arial" w:hAnsi="Arial" w:cs="Arial"/>
              <w:color w:val="161905"/>
            </w:rPr>
            <w:t>0080, Toluca, Estado de México.</w:t>
          </w:r>
          <w:r>
            <w:rPr>
              <w:rStyle w:val="jsgrdq"/>
              <w:rFonts w:ascii="Arial" w:hAnsi="Arial" w:cs="Arial"/>
              <w:color w:val="161905"/>
            </w:rPr>
            <w:t xml:space="preserve"> </w:t>
          </w:r>
          <w:sdt>
            <w:sdtPr>
              <w:rPr>
                <w:rFonts w:ascii="Arial" w:hAnsi="Arial" w:cs="Arial"/>
                <w:color w:val="161905"/>
              </w:rPr>
              <w:alias w:val="Título"/>
              <w:tag w:val=""/>
              <w:id w:val="-195469200"/>
              <w:dataBinding w:prefixMappings="xmlns:ns0='http://purl.org/dc/elements/1.1/' xmlns:ns1='http://schemas.openxmlformats.org/package/2006/metadata/core-properties' " w:xpath="/ns1:coreProperties[1]/ns0:title[1]" w:storeItemID="{6C3C8BC8-F283-45AE-878A-BAB7291924A1}"/>
              <w:text/>
            </w:sdtPr>
            <w:sdtEndPr/>
            <w:sdtContent>
              <w:r w:rsidR="009304D5">
                <w:rPr>
                  <w:rFonts w:ascii="Arial" w:hAnsi="Arial" w:cs="Arial"/>
                  <w:color w:val="161905"/>
                </w:rPr>
                <w:t>“Cuenta Pública d</w:t>
              </w:r>
              <w:r w:rsidR="009304D5" w:rsidRPr="006020C7">
                <w:rPr>
                  <w:rFonts w:ascii="Arial" w:hAnsi="Arial" w:cs="Arial"/>
                  <w:color w:val="161905"/>
                </w:rPr>
                <w:t xml:space="preserve">el Estado </w:t>
              </w:r>
              <w:r w:rsidR="009304D5">
                <w:rPr>
                  <w:rFonts w:ascii="Arial" w:hAnsi="Arial" w:cs="Arial"/>
                  <w:color w:val="161905"/>
                </w:rPr>
                <w:t xml:space="preserve">de </w:t>
              </w:r>
              <w:r w:rsidR="009304D5" w:rsidRPr="006020C7">
                <w:rPr>
                  <w:rFonts w:ascii="Arial" w:hAnsi="Arial" w:cs="Arial"/>
                  <w:color w:val="161905"/>
                </w:rPr>
                <w:t>México: 2020”.</w:t>
              </w:r>
            </w:sdtContent>
          </w:sdt>
        </w:p>
        <w:p w14:paraId="45058606" w14:textId="54E29853" w:rsidR="00F36B86" w:rsidRDefault="00F36B86" w:rsidP="00830B0F">
          <w:pPr>
            <w:jc w:val="right"/>
            <w:rPr>
              <w:rFonts w:ascii="Arial" w:hAnsi="Arial" w:cs="Arial"/>
            </w:rPr>
          </w:pPr>
          <w:r>
            <w:rPr>
              <w:rFonts w:ascii="Arial" w:hAnsi="Arial" w:cs="Arial"/>
            </w:rPr>
            <w:br w:type="page"/>
          </w:r>
        </w:p>
        <w:p w14:paraId="4BE14D0A" w14:textId="77777777" w:rsidR="005F78F2" w:rsidRPr="005F78F2" w:rsidRDefault="005F78F2" w:rsidP="00806CBA">
          <w:pPr>
            <w:jc w:val="center"/>
            <w:rPr>
              <w:rFonts w:ascii="Arial" w:hAnsi="Arial" w:cs="Arial"/>
            </w:rPr>
          </w:pPr>
        </w:p>
        <w:p w14:paraId="390A04E7" w14:textId="6E0D34D5" w:rsidR="005F78F2" w:rsidRDefault="005F78F2" w:rsidP="00806CBA">
          <w:pPr>
            <w:jc w:val="center"/>
            <w:rPr>
              <w:rFonts w:ascii="Arial" w:hAnsi="Arial" w:cs="Arial"/>
            </w:rPr>
          </w:pPr>
          <w:r w:rsidRPr="005F78F2">
            <w:rPr>
              <w:rFonts w:ascii="Arial" w:hAnsi="Arial" w:cs="Arial"/>
            </w:rPr>
            <w:t>INVESTIGACIÓN RECOPILATORIA</w:t>
          </w:r>
        </w:p>
        <w:p w14:paraId="0BB0C372" w14:textId="1746ADD4" w:rsidR="005F78F2" w:rsidRDefault="005F78F2" w:rsidP="00806CBA">
          <w:pPr>
            <w:jc w:val="center"/>
            <w:rPr>
              <w:rFonts w:ascii="Arial" w:hAnsi="Arial" w:cs="Arial"/>
            </w:rPr>
          </w:pPr>
        </w:p>
        <w:p w14:paraId="0D876773" w14:textId="1E985A8E" w:rsidR="005F78F2" w:rsidRDefault="005F78F2" w:rsidP="00806CBA">
          <w:pPr>
            <w:jc w:val="center"/>
            <w:rPr>
              <w:rFonts w:ascii="Arial" w:hAnsi="Arial" w:cs="Arial"/>
            </w:rPr>
          </w:pPr>
        </w:p>
        <w:p w14:paraId="55D6C0C4" w14:textId="2AAE0E79" w:rsidR="005F78F2" w:rsidRDefault="005F78F2" w:rsidP="00806CBA">
          <w:pPr>
            <w:jc w:val="center"/>
            <w:rPr>
              <w:rFonts w:ascii="Arial" w:hAnsi="Arial" w:cs="Arial"/>
            </w:rPr>
          </w:pPr>
        </w:p>
        <w:p w14:paraId="726E07AE" w14:textId="0229823F" w:rsidR="005F78F2" w:rsidRDefault="005F78F2" w:rsidP="00806CBA">
          <w:pPr>
            <w:jc w:val="center"/>
            <w:rPr>
              <w:rFonts w:ascii="Arial" w:hAnsi="Arial" w:cs="Arial"/>
            </w:rPr>
          </w:pPr>
        </w:p>
        <w:p w14:paraId="0D764AE2" w14:textId="77777777" w:rsidR="005F78F2" w:rsidRPr="002C4D03" w:rsidRDefault="005F78F2" w:rsidP="00806CBA">
          <w:pPr>
            <w:jc w:val="center"/>
            <w:rPr>
              <w:rFonts w:ascii="Arial" w:hAnsi="Arial" w:cs="Arial"/>
            </w:rPr>
          </w:pPr>
        </w:p>
        <w:p w14:paraId="506AE5C3" w14:textId="0F062961" w:rsidR="005F78F2" w:rsidRPr="002C4D03" w:rsidRDefault="005F78F2" w:rsidP="00806CBA">
          <w:pPr>
            <w:jc w:val="center"/>
            <w:rPr>
              <w:rFonts w:ascii="Arial" w:hAnsi="Arial" w:cs="Arial"/>
            </w:rPr>
          </w:pPr>
          <w:r w:rsidRPr="002C4D03">
            <w:rPr>
              <w:rFonts w:ascii="Arial" w:hAnsi="Arial" w:cs="Arial"/>
            </w:rPr>
            <w:t>MAP. Ma. Isabel Selene Clemente Muño</w:t>
          </w:r>
          <w:r w:rsidR="003700B2">
            <w:rPr>
              <w:rFonts w:ascii="Arial" w:hAnsi="Arial" w:cs="Arial"/>
            </w:rPr>
            <w:t>z</w:t>
          </w:r>
        </w:p>
        <w:p w14:paraId="2FFD4D7F" w14:textId="219BD51F" w:rsidR="005F78F2" w:rsidRPr="002C4D03" w:rsidRDefault="00D878DB" w:rsidP="00806CBA">
          <w:pPr>
            <w:jc w:val="center"/>
            <w:rPr>
              <w:rFonts w:ascii="Arial" w:hAnsi="Arial" w:cs="Arial"/>
            </w:rPr>
          </w:pPr>
          <w:r>
            <w:rPr>
              <w:rFonts w:ascii="Arial" w:hAnsi="Arial" w:cs="Arial"/>
            </w:rPr>
            <w:t xml:space="preserve">Directora </w:t>
          </w:r>
          <w:r w:rsidR="005F78F2" w:rsidRPr="002C4D03">
            <w:rPr>
              <w:rFonts w:ascii="Arial" w:hAnsi="Arial" w:cs="Arial"/>
            </w:rPr>
            <w:t>del Instituto de Estudios Legislativos</w:t>
          </w:r>
        </w:p>
        <w:p w14:paraId="2392CAF1" w14:textId="77777777" w:rsidR="005F78F2" w:rsidRDefault="005F78F2" w:rsidP="00806CBA">
          <w:pPr>
            <w:jc w:val="center"/>
            <w:rPr>
              <w:rFonts w:ascii="Arial" w:hAnsi="Arial" w:cs="Arial"/>
            </w:rPr>
          </w:pPr>
        </w:p>
        <w:p w14:paraId="5180562B" w14:textId="77777777" w:rsidR="005F78F2" w:rsidRDefault="005F78F2" w:rsidP="00806CBA">
          <w:pPr>
            <w:jc w:val="center"/>
            <w:rPr>
              <w:rFonts w:ascii="Arial" w:hAnsi="Arial" w:cs="Arial"/>
            </w:rPr>
          </w:pPr>
        </w:p>
        <w:p w14:paraId="43768890" w14:textId="77777777" w:rsidR="005F78F2" w:rsidRPr="002C4D03" w:rsidRDefault="005F78F2" w:rsidP="00806CBA">
          <w:pPr>
            <w:jc w:val="center"/>
            <w:rPr>
              <w:rFonts w:ascii="Arial" w:hAnsi="Arial" w:cs="Arial"/>
            </w:rPr>
          </w:pPr>
        </w:p>
        <w:p w14:paraId="3561C718" w14:textId="77777777" w:rsidR="005F78F2" w:rsidRPr="002C4D03" w:rsidRDefault="005F78F2" w:rsidP="00806CBA">
          <w:pPr>
            <w:jc w:val="center"/>
            <w:rPr>
              <w:rFonts w:ascii="Arial" w:hAnsi="Arial" w:cs="Arial"/>
            </w:rPr>
          </w:pPr>
        </w:p>
        <w:p w14:paraId="031FA1D7" w14:textId="15AD7C6D" w:rsidR="005F78F2" w:rsidRPr="002C4D03" w:rsidRDefault="00993238" w:rsidP="00806CBA">
          <w:pPr>
            <w:jc w:val="center"/>
            <w:rPr>
              <w:rFonts w:ascii="Arial" w:hAnsi="Arial" w:cs="Arial"/>
            </w:rPr>
          </w:pPr>
          <w:r>
            <w:rPr>
              <w:rFonts w:ascii="Arial" w:hAnsi="Arial" w:cs="Arial"/>
            </w:rPr>
            <w:t>L.D. Arturo Salas Ramírez</w:t>
          </w:r>
        </w:p>
        <w:p w14:paraId="6F905878" w14:textId="72B4E167" w:rsidR="005F78F2" w:rsidRPr="002C4D03" w:rsidRDefault="004245A6" w:rsidP="00806CBA">
          <w:pPr>
            <w:jc w:val="center"/>
            <w:rPr>
              <w:rFonts w:ascii="Arial" w:hAnsi="Arial" w:cs="Arial"/>
            </w:rPr>
          </w:pPr>
          <w:r>
            <w:rPr>
              <w:rFonts w:ascii="Arial" w:hAnsi="Arial" w:cs="Arial"/>
            </w:rPr>
            <w:t>Supervisor</w:t>
          </w:r>
          <w:r w:rsidR="005F78F2" w:rsidRPr="002C4D03">
            <w:rPr>
              <w:rFonts w:ascii="Arial" w:hAnsi="Arial" w:cs="Arial"/>
            </w:rPr>
            <w:t xml:space="preserve"> de Capacitación del Instituto de Estudios Legislativos</w:t>
          </w:r>
        </w:p>
        <w:p w14:paraId="0F9EE99D" w14:textId="77777777" w:rsidR="005F78F2" w:rsidRDefault="005F78F2" w:rsidP="00806CBA">
          <w:pPr>
            <w:jc w:val="center"/>
            <w:rPr>
              <w:rFonts w:ascii="Arial" w:hAnsi="Arial" w:cs="Arial"/>
            </w:rPr>
          </w:pPr>
        </w:p>
        <w:p w14:paraId="5E74D35F" w14:textId="77777777" w:rsidR="005F78F2" w:rsidRDefault="005F78F2" w:rsidP="00806CBA">
          <w:pPr>
            <w:jc w:val="center"/>
            <w:rPr>
              <w:rFonts w:ascii="Arial" w:hAnsi="Arial" w:cs="Arial"/>
            </w:rPr>
          </w:pPr>
        </w:p>
        <w:p w14:paraId="42DDCB36" w14:textId="77777777" w:rsidR="005F78F2" w:rsidRPr="002C4D03" w:rsidRDefault="005F78F2" w:rsidP="00806CBA">
          <w:pPr>
            <w:jc w:val="center"/>
            <w:rPr>
              <w:rFonts w:ascii="Arial" w:hAnsi="Arial" w:cs="Arial"/>
            </w:rPr>
          </w:pPr>
        </w:p>
        <w:p w14:paraId="51C9BF71" w14:textId="77777777" w:rsidR="005F78F2" w:rsidRDefault="005F78F2" w:rsidP="00806CBA">
          <w:pPr>
            <w:jc w:val="center"/>
            <w:rPr>
              <w:rFonts w:ascii="Arial" w:hAnsi="Arial" w:cs="Arial"/>
            </w:rPr>
          </w:pPr>
        </w:p>
        <w:p w14:paraId="43C23050" w14:textId="77777777" w:rsidR="005F78F2" w:rsidRPr="002C4D03" w:rsidRDefault="005F78F2" w:rsidP="00806CBA">
          <w:pPr>
            <w:jc w:val="center"/>
            <w:rPr>
              <w:rFonts w:ascii="Arial" w:hAnsi="Arial" w:cs="Arial"/>
            </w:rPr>
          </w:pPr>
        </w:p>
        <w:p w14:paraId="0BC433E0" w14:textId="140558E9" w:rsidR="005F78F2" w:rsidRDefault="003700B2" w:rsidP="00806CBA">
          <w:pPr>
            <w:jc w:val="center"/>
            <w:rPr>
              <w:rFonts w:ascii="Arial" w:hAnsi="Arial" w:cs="Arial"/>
            </w:rPr>
          </w:pPr>
          <w:r>
            <w:rPr>
              <w:rFonts w:ascii="Arial" w:hAnsi="Arial" w:cs="Arial"/>
            </w:rPr>
            <w:t>PASTOR MARTÍNEZ BRIANDA GUADALUPE.</w:t>
          </w:r>
        </w:p>
        <w:p w14:paraId="2C30AD6D" w14:textId="1EC3B920" w:rsidR="0082751F" w:rsidRPr="002C4D03" w:rsidRDefault="0082751F" w:rsidP="00806CBA">
          <w:pPr>
            <w:jc w:val="center"/>
            <w:rPr>
              <w:rFonts w:ascii="Arial" w:hAnsi="Arial" w:cs="Arial"/>
            </w:rPr>
          </w:pPr>
          <w:r>
            <w:rPr>
              <w:rFonts w:ascii="Arial" w:hAnsi="Arial" w:cs="Arial"/>
            </w:rPr>
            <w:t>MONTES CABRERA ARAM YAEL.</w:t>
          </w:r>
        </w:p>
        <w:p w14:paraId="7AC4B303" w14:textId="648EDCF1" w:rsidR="005F78F2" w:rsidRDefault="008C017D" w:rsidP="00806CBA">
          <w:pPr>
            <w:jc w:val="center"/>
            <w:rPr>
              <w:rFonts w:ascii="Arial" w:hAnsi="Arial" w:cs="Arial"/>
            </w:rPr>
          </w:pPr>
          <w:r>
            <w:rPr>
              <w:rFonts w:ascii="Arial" w:hAnsi="Arial" w:cs="Arial"/>
            </w:rPr>
            <w:t xml:space="preserve">ESTUDIANTES DE </w:t>
          </w:r>
          <w:r w:rsidR="003700B2">
            <w:rPr>
              <w:rFonts w:ascii="Arial" w:hAnsi="Arial" w:cs="Arial"/>
            </w:rPr>
            <w:t>DERECHO.</w:t>
          </w:r>
        </w:p>
        <w:p w14:paraId="6714829C" w14:textId="77777777" w:rsidR="005F78F2" w:rsidRDefault="005F78F2" w:rsidP="00806CBA">
          <w:pPr>
            <w:jc w:val="center"/>
            <w:rPr>
              <w:rFonts w:ascii="Arial" w:hAnsi="Arial" w:cs="Arial"/>
            </w:rPr>
          </w:pPr>
        </w:p>
        <w:p w14:paraId="18E37E1B" w14:textId="77777777" w:rsidR="005F78F2" w:rsidRDefault="005F78F2" w:rsidP="00806CBA">
          <w:pPr>
            <w:jc w:val="center"/>
            <w:rPr>
              <w:rFonts w:ascii="Arial" w:hAnsi="Arial" w:cs="Arial"/>
            </w:rPr>
          </w:pPr>
        </w:p>
        <w:p w14:paraId="6A6986B5" w14:textId="77777777" w:rsidR="005F78F2" w:rsidRPr="002C4D03" w:rsidRDefault="005F78F2" w:rsidP="00806CBA">
          <w:pPr>
            <w:jc w:val="center"/>
            <w:rPr>
              <w:rFonts w:ascii="Arial" w:hAnsi="Arial" w:cs="Arial"/>
            </w:rPr>
          </w:pPr>
        </w:p>
        <w:p w14:paraId="6D61B0BB" w14:textId="2A67CF3E" w:rsidR="00510429" w:rsidRDefault="00862D31" w:rsidP="00806CBA">
          <w:pPr>
            <w:jc w:val="center"/>
            <w:rPr>
              <w:rFonts w:ascii="Arial" w:hAnsi="Arial" w:cs="Arial"/>
            </w:rPr>
          </w:pPr>
          <w:r>
            <w:rPr>
              <w:rFonts w:ascii="Arial" w:hAnsi="Arial" w:cs="Arial"/>
            </w:rPr>
            <w:t>MARZO</w:t>
          </w:r>
          <w:r w:rsidR="00AB33CD">
            <w:rPr>
              <w:rFonts w:ascii="Arial" w:hAnsi="Arial" w:cs="Arial"/>
            </w:rPr>
            <w:t xml:space="preserve"> </w:t>
          </w:r>
          <w:r>
            <w:rPr>
              <w:rFonts w:ascii="Arial" w:hAnsi="Arial" w:cs="Arial"/>
            </w:rPr>
            <w:t>2022</w:t>
          </w:r>
        </w:p>
        <w:p w14:paraId="3AE5E48B" w14:textId="77777777" w:rsidR="00E642E2" w:rsidRDefault="00510429" w:rsidP="00830B0F">
          <w:pPr>
            <w:jc w:val="right"/>
            <w:rPr>
              <w:rFonts w:ascii="Arial" w:hAnsi="Arial" w:cs="Arial"/>
            </w:rPr>
          </w:pPr>
          <w:r>
            <w:rPr>
              <w:rFonts w:ascii="Arial" w:hAnsi="Arial" w:cs="Arial"/>
            </w:rPr>
            <w:lastRenderedPageBreak/>
            <w:br w:type="page"/>
          </w:r>
        </w:p>
        <w:sdt>
          <w:sdtPr>
            <w:rPr>
              <w:rFonts w:asciiTheme="minorHAnsi" w:eastAsiaTheme="minorEastAsia" w:hAnsiTheme="minorHAnsi" w:cstheme="minorBidi"/>
              <w:color w:val="auto"/>
              <w:sz w:val="20"/>
              <w:szCs w:val="20"/>
              <w:lang w:val="es-ES"/>
            </w:rPr>
            <w:id w:val="-1663223523"/>
            <w:docPartObj>
              <w:docPartGallery w:val="Table of Contents"/>
              <w:docPartUnique/>
            </w:docPartObj>
          </w:sdtPr>
          <w:sdtEndPr>
            <w:rPr>
              <w:b/>
              <w:bCs/>
            </w:rPr>
          </w:sdtEndPr>
          <w:sdtContent>
            <w:p w14:paraId="207D8B07" w14:textId="5200654D" w:rsidR="00E642E2" w:rsidRDefault="001279A6" w:rsidP="001279A6">
              <w:pPr>
                <w:pStyle w:val="TtulodeTDC"/>
                <w:jc w:val="both"/>
              </w:pPr>
              <w:r>
                <w:rPr>
                  <w:lang w:val="es-ES"/>
                </w:rPr>
                <w:t>Contenido</w:t>
              </w:r>
            </w:p>
            <w:p w14:paraId="3BBFAC16" w14:textId="77777777" w:rsidR="009D5257" w:rsidRDefault="00E642E2" w:rsidP="006A055F">
              <w:pPr>
                <w:pStyle w:val="TDC1"/>
                <w:rPr>
                  <w:rFonts w:eastAsiaTheme="minorEastAsia"/>
                  <w:noProof/>
                  <w:sz w:val="22"/>
                  <w:lang w:eastAsia="es-MX"/>
                </w:rPr>
              </w:pPr>
              <w:r>
                <w:fldChar w:fldCharType="begin"/>
              </w:r>
              <w:r>
                <w:instrText xml:space="preserve"> TOC \o "1-3" \h \z \u </w:instrText>
              </w:r>
              <w:r>
                <w:fldChar w:fldCharType="separate"/>
              </w:r>
              <w:hyperlink w:anchor="_Toc90995803" w:history="1">
                <w:r w:rsidR="009D5257">
                  <w:rPr>
                    <w:noProof/>
                    <w:webHidden/>
                  </w:rPr>
                  <w:tab/>
                </w:r>
                <w:r w:rsidR="009D5257">
                  <w:rPr>
                    <w:noProof/>
                    <w:webHidden/>
                  </w:rPr>
                  <w:fldChar w:fldCharType="begin"/>
                </w:r>
                <w:r w:rsidR="009D5257">
                  <w:rPr>
                    <w:noProof/>
                    <w:webHidden/>
                  </w:rPr>
                  <w:instrText xml:space="preserve"> PAGEREF _Toc90995803 \h </w:instrText>
                </w:r>
                <w:r w:rsidR="009D5257">
                  <w:rPr>
                    <w:noProof/>
                    <w:webHidden/>
                  </w:rPr>
                </w:r>
                <w:r w:rsidR="009D5257">
                  <w:rPr>
                    <w:noProof/>
                    <w:webHidden/>
                  </w:rPr>
                  <w:fldChar w:fldCharType="separate"/>
                </w:r>
                <w:r w:rsidR="00355A8E">
                  <w:rPr>
                    <w:noProof/>
                    <w:webHidden/>
                  </w:rPr>
                  <w:t>1</w:t>
                </w:r>
                <w:r w:rsidR="009D5257">
                  <w:rPr>
                    <w:noProof/>
                    <w:webHidden/>
                  </w:rPr>
                  <w:fldChar w:fldCharType="end"/>
                </w:r>
              </w:hyperlink>
            </w:p>
            <w:p w14:paraId="4339A654" w14:textId="77777777" w:rsidR="009D5257" w:rsidRDefault="003F2A25" w:rsidP="006A055F">
              <w:pPr>
                <w:pStyle w:val="TDC1"/>
                <w:rPr>
                  <w:rFonts w:eastAsiaTheme="minorEastAsia"/>
                  <w:noProof/>
                  <w:sz w:val="22"/>
                  <w:lang w:eastAsia="es-MX"/>
                </w:rPr>
              </w:pPr>
              <w:hyperlink w:anchor="_Toc90995804" w:history="1">
                <w:r w:rsidR="009D5257" w:rsidRPr="00C3605A">
                  <w:rPr>
                    <w:rStyle w:val="Hipervnculo"/>
                    <w:noProof/>
                  </w:rPr>
                  <w:t>INTRODUCCIÓN.</w:t>
                </w:r>
                <w:r w:rsidR="009D5257">
                  <w:rPr>
                    <w:noProof/>
                    <w:webHidden/>
                  </w:rPr>
                  <w:tab/>
                </w:r>
                <w:r w:rsidR="009D5257">
                  <w:rPr>
                    <w:noProof/>
                    <w:webHidden/>
                  </w:rPr>
                  <w:fldChar w:fldCharType="begin"/>
                </w:r>
                <w:r w:rsidR="009D5257">
                  <w:rPr>
                    <w:noProof/>
                    <w:webHidden/>
                  </w:rPr>
                  <w:instrText xml:space="preserve"> PAGEREF _Toc90995804 \h </w:instrText>
                </w:r>
                <w:r w:rsidR="009D5257">
                  <w:rPr>
                    <w:noProof/>
                    <w:webHidden/>
                  </w:rPr>
                </w:r>
                <w:r w:rsidR="009D5257">
                  <w:rPr>
                    <w:noProof/>
                    <w:webHidden/>
                  </w:rPr>
                  <w:fldChar w:fldCharType="separate"/>
                </w:r>
                <w:r w:rsidR="00355A8E">
                  <w:rPr>
                    <w:noProof/>
                    <w:webHidden/>
                  </w:rPr>
                  <w:t>5</w:t>
                </w:r>
                <w:r w:rsidR="009D5257">
                  <w:rPr>
                    <w:noProof/>
                    <w:webHidden/>
                  </w:rPr>
                  <w:fldChar w:fldCharType="end"/>
                </w:r>
              </w:hyperlink>
            </w:p>
            <w:p w14:paraId="15AEB24B" w14:textId="62860AD2" w:rsidR="009D5257" w:rsidRDefault="003F2A25" w:rsidP="006A055F">
              <w:pPr>
                <w:pStyle w:val="TDC1"/>
                <w:rPr>
                  <w:rFonts w:eastAsiaTheme="minorEastAsia"/>
                  <w:noProof/>
                  <w:sz w:val="22"/>
                  <w:lang w:eastAsia="es-MX"/>
                </w:rPr>
              </w:pPr>
              <w:hyperlink w:anchor="_Toc90995805" w:history="1">
                <w:r w:rsidR="00C43BC2" w:rsidRPr="00C3605A">
                  <w:rPr>
                    <w:rStyle w:val="Hipervnculo"/>
                    <w:noProof/>
                  </w:rPr>
                  <w:t>ANTECEDENTES</w:t>
                </w:r>
                <w:r w:rsidR="009D5257">
                  <w:rPr>
                    <w:noProof/>
                    <w:webHidden/>
                  </w:rPr>
                  <w:tab/>
                </w:r>
                <w:r w:rsidR="009D5257">
                  <w:rPr>
                    <w:noProof/>
                    <w:webHidden/>
                  </w:rPr>
                  <w:fldChar w:fldCharType="begin"/>
                </w:r>
                <w:r w:rsidR="009D5257">
                  <w:rPr>
                    <w:noProof/>
                    <w:webHidden/>
                  </w:rPr>
                  <w:instrText xml:space="preserve"> PAGEREF _Toc90995805 \h </w:instrText>
                </w:r>
                <w:r w:rsidR="009D5257">
                  <w:rPr>
                    <w:noProof/>
                    <w:webHidden/>
                  </w:rPr>
                </w:r>
                <w:r w:rsidR="009D5257">
                  <w:rPr>
                    <w:noProof/>
                    <w:webHidden/>
                  </w:rPr>
                  <w:fldChar w:fldCharType="separate"/>
                </w:r>
                <w:r w:rsidR="00355A8E">
                  <w:rPr>
                    <w:noProof/>
                    <w:webHidden/>
                  </w:rPr>
                  <w:t>7</w:t>
                </w:r>
                <w:r w:rsidR="009D5257">
                  <w:rPr>
                    <w:noProof/>
                    <w:webHidden/>
                  </w:rPr>
                  <w:fldChar w:fldCharType="end"/>
                </w:r>
              </w:hyperlink>
            </w:p>
            <w:p w14:paraId="69FAAF8D" w14:textId="77777777" w:rsidR="009D5257" w:rsidRDefault="003F2A25" w:rsidP="006A055F">
              <w:pPr>
                <w:pStyle w:val="TDC1"/>
                <w:rPr>
                  <w:rFonts w:eastAsiaTheme="minorEastAsia"/>
                  <w:noProof/>
                  <w:sz w:val="22"/>
                  <w:lang w:eastAsia="es-MX"/>
                </w:rPr>
              </w:pPr>
              <w:hyperlink w:anchor="_Toc90995806" w:history="1">
                <w:r w:rsidR="009D5257" w:rsidRPr="00C3605A">
                  <w:rPr>
                    <w:rStyle w:val="Hipervnculo"/>
                    <w:noProof/>
                  </w:rPr>
                  <w:t>LEY DE INGRESOS.</w:t>
                </w:r>
                <w:r w:rsidR="009D5257">
                  <w:rPr>
                    <w:noProof/>
                    <w:webHidden/>
                  </w:rPr>
                  <w:tab/>
                </w:r>
                <w:r w:rsidR="009D5257">
                  <w:rPr>
                    <w:noProof/>
                    <w:webHidden/>
                  </w:rPr>
                  <w:fldChar w:fldCharType="begin"/>
                </w:r>
                <w:r w:rsidR="009D5257">
                  <w:rPr>
                    <w:noProof/>
                    <w:webHidden/>
                  </w:rPr>
                  <w:instrText xml:space="preserve"> PAGEREF _Toc90995806 \h </w:instrText>
                </w:r>
                <w:r w:rsidR="009D5257">
                  <w:rPr>
                    <w:noProof/>
                    <w:webHidden/>
                  </w:rPr>
                </w:r>
                <w:r w:rsidR="009D5257">
                  <w:rPr>
                    <w:noProof/>
                    <w:webHidden/>
                  </w:rPr>
                  <w:fldChar w:fldCharType="separate"/>
                </w:r>
                <w:r w:rsidR="00355A8E">
                  <w:rPr>
                    <w:noProof/>
                    <w:webHidden/>
                  </w:rPr>
                  <w:t>8</w:t>
                </w:r>
                <w:r w:rsidR="009D5257">
                  <w:rPr>
                    <w:noProof/>
                    <w:webHidden/>
                  </w:rPr>
                  <w:fldChar w:fldCharType="end"/>
                </w:r>
              </w:hyperlink>
            </w:p>
            <w:p w14:paraId="512D98ED" w14:textId="77777777" w:rsidR="009D5257" w:rsidRDefault="003F2A25" w:rsidP="006A055F">
              <w:pPr>
                <w:pStyle w:val="TDC1"/>
                <w:rPr>
                  <w:rFonts w:eastAsiaTheme="minorEastAsia"/>
                  <w:noProof/>
                  <w:sz w:val="22"/>
                  <w:lang w:eastAsia="es-MX"/>
                </w:rPr>
              </w:pPr>
              <w:hyperlink w:anchor="_Toc90995807" w:history="1">
                <w:r w:rsidR="009D5257" w:rsidRPr="00C3605A">
                  <w:rPr>
                    <w:rStyle w:val="Hipervnculo"/>
                    <w:noProof/>
                  </w:rPr>
                  <w:t>PRESUPUESTO DE EGRESOS.</w:t>
                </w:r>
                <w:r w:rsidR="009D5257">
                  <w:rPr>
                    <w:noProof/>
                    <w:webHidden/>
                  </w:rPr>
                  <w:tab/>
                </w:r>
                <w:r w:rsidR="009D5257">
                  <w:rPr>
                    <w:noProof/>
                    <w:webHidden/>
                  </w:rPr>
                  <w:fldChar w:fldCharType="begin"/>
                </w:r>
                <w:r w:rsidR="009D5257">
                  <w:rPr>
                    <w:noProof/>
                    <w:webHidden/>
                  </w:rPr>
                  <w:instrText xml:space="preserve"> PAGEREF _Toc90995807 \h </w:instrText>
                </w:r>
                <w:r w:rsidR="009D5257">
                  <w:rPr>
                    <w:noProof/>
                    <w:webHidden/>
                  </w:rPr>
                </w:r>
                <w:r w:rsidR="009D5257">
                  <w:rPr>
                    <w:noProof/>
                    <w:webHidden/>
                  </w:rPr>
                  <w:fldChar w:fldCharType="separate"/>
                </w:r>
                <w:r w:rsidR="00355A8E">
                  <w:rPr>
                    <w:noProof/>
                    <w:webHidden/>
                  </w:rPr>
                  <w:t>11</w:t>
                </w:r>
                <w:r w:rsidR="009D5257">
                  <w:rPr>
                    <w:noProof/>
                    <w:webHidden/>
                  </w:rPr>
                  <w:fldChar w:fldCharType="end"/>
                </w:r>
              </w:hyperlink>
            </w:p>
            <w:p w14:paraId="5D509ABB" w14:textId="4FD25FF2" w:rsidR="009D5257" w:rsidRDefault="003F2A25" w:rsidP="006A055F">
              <w:pPr>
                <w:pStyle w:val="TDC1"/>
                <w:rPr>
                  <w:rFonts w:eastAsiaTheme="minorEastAsia"/>
                  <w:noProof/>
                  <w:sz w:val="22"/>
                  <w:lang w:eastAsia="es-MX"/>
                </w:rPr>
              </w:pPr>
              <w:hyperlink w:anchor="_Toc90995808" w:history="1">
                <w:r w:rsidR="009D5257" w:rsidRPr="00C3605A">
                  <w:rPr>
                    <w:rStyle w:val="Hipervnculo"/>
                    <w:noProof/>
                  </w:rPr>
                  <w:t>CLASIFICACIÓN ECONÓMICA.</w:t>
                </w:r>
                <w:r w:rsidR="009D5257">
                  <w:rPr>
                    <w:noProof/>
                    <w:webHidden/>
                  </w:rPr>
                  <w:tab/>
                </w:r>
                <w:r w:rsidR="009D5257">
                  <w:rPr>
                    <w:noProof/>
                    <w:webHidden/>
                  </w:rPr>
                  <w:fldChar w:fldCharType="begin"/>
                </w:r>
                <w:r w:rsidR="009D5257">
                  <w:rPr>
                    <w:noProof/>
                    <w:webHidden/>
                  </w:rPr>
                  <w:instrText xml:space="preserve"> PAGEREF _Toc90995808 \h </w:instrText>
                </w:r>
                <w:r w:rsidR="009D5257">
                  <w:rPr>
                    <w:noProof/>
                    <w:webHidden/>
                  </w:rPr>
                </w:r>
                <w:r w:rsidR="009D5257">
                  <w:rPr>
                    <w:noProof/>
                    <w:webHidden/>
                  </w:rPr>
                  <w:fldChar w:fldCharType="separate"/>
                </w:r>
                <w:r w:rsidR="00355A8E">
                  <w:rPr>
                    <w:noProof/>
                    <w:webHidden/>
                  </w:rPr>
                  <w:t>18</w:t>
                </w:r>
                <w:r w:rsidR="009D5257">
                  <w:rPr>
                    <w:noProof/>
                    <w:webHidden/>
                  </w:rPr>
                  <w:fldChar w:fldCharType="end"/>
                </w:r>
              </w:hyperlink>
            </w:p>
            <w:p w14:paraId="784CE194" w14:textId="5BFD8647" w:rsidR="009D5257" w:rsidRDefault="003F2A25" w:rsidP="006A055F">
              <w:pPr>
                <w:pStyle w:val="TDC1"/>
                <w:rPr>
                  <w:rFonts w:eastAsiaTheme="minorEastAsia"/>
                  <w:noProof/>
                  <w:sz w:val="22"/>
                  <w:lang w:eastAsia="es-MX"/>
                </w:rPr>
              </w:pPr>
              <w:hyperlink w:anchor="_Toc90995809" w:history="1">
                <w:r w:rsidR="009D5257" w:rsidRPr="00C3605A">
                  <w:rPr>
                    <w:rStyle w:val="Hipervnculo"/>
                    <w:noProof/>
                  </w:rPr>
                  <w:t>PLAN DE DEARROLLO DEL ESTADO DE MÉXICO.</w:t>
                </w:r>
                <w:r w:rsidR="00927A87">
                  <w:rPr>
                    <w:rStyle w:val="Hipervnculo"/>
                    <w:noProof/>
                  </w:rPr>
                  <w:t xml:space="preserve"> </w:t>
                </w:r>
                <w:r w:rsidR="009D5257" w:rsidRPr="00C3605A">
                  <w:rPr>
                    <w:rStyle w:val="Hipervnculo"/>
                    <w:noProof/>
                  </w:rPr>
                  <w:t>2017-2023.</w:t>
                </w:r>
                <w:r w:rsidR="009D5257">
                  <w:rPr>
                    <w:noProof/>
                    <w:webHidden/>
                  </w:rPr>
                  <w:tab/>
                </w:r>
                <w:r w:rsidR="009D5257">
                  <w:rPr>
                    <w:noProof/>
                    <w:webHidden/>
                  </w:rPr>
                  <w:fldChar w:fldCharType="begin"/>
                </w:r>
                <w:r w:rsidR="009D5257">
                  <w:rPr>
                    <w:noProof/>
                    <w:webHidden/>
                  </w:rPr>
                  <w:instrText xml:space="preserve"> PAGEREF _Toc90995809 \h </w:instrText>
                </w:r>
                <w:r w:rsidR="009D5257">
                  <w:rPr>
                    <w:noProof/>
                    <w:webHidden/>
                  </w:rPr>
                </w:r>
                <w:r w:rsidR="009D5257">
                  <w:rPr>
                    <w:noProof/>
                    <w:webHidden/>
                  </w:rPr>
                  <w:fldChar w:fldCharType="separate"/>
                </w:r>
                <w:r w:rsidR="00355A8E">
                  <w:rPr>
                    <w:noProof/>
                    <w:webHidden/>
                  </w:rPr>
                  <w:t>19</w:t>
                </w:r>
                <w:r w:rsidR="009D5257">
                  <w:rPr>
                    <w:noProof/>
                    <w:webHidden/>
                  </w:rPr>
                  <w:fldChar w:fldCharType="end"/>
                </w:r>
              </w:hyperlink>
            </w:p>
            <w:p w14:paraId="3876EF51" w14:textId="5FA3DDB0" w:rsidR="009D5257" w:rsidRDefault="003F2A25" w:rsidP="006A055F">
              <w:pPr>
                <w:pStyle w:val="TDC2"/>
                <w:ind w:left="0"/>
                <w:rPr>
                  <w:rFonts w:eastAsiaTheme="minorEastAsia"/>
                  <w:noProof/>
                  <w:sz w:val="22"/>
                  <w:lang w:eastAsia="es-MX"/>
                </w:rPr>
              </w:pPr>
              <w:hyperlink w:anchor="_Toc90995810" w:history="1">
                <w:r w:rsidR="009D5257" w:rsidRPr="00C3605A">
                  <w:rPr>
                    <w:rStyle w:val="Hipervnculo"/>
                    <w:noProof/>
                  </w:rPr>
                  <w:t>PILAR SOCIAL</w:t>
                </w:r>
                <w:r w:rsidR="006A055F">
                  <w:rPr>
                    <w:rStyle w:val="Hipervnculo"/>
                    <w:noProof/>
                  </w:rPr>
                  <w:t>…………………………………………………………………………………………………………………………………………</w:t>
                </w:r>
                <w:r w:rsidR="009D5257">
                  <w:rPr>
                    <w:noProof/>
                    <w:webHidden/>
                  </w:rPr>
                  <w:tab/>
                </w:r>
                <w:r w:rsidR="009D5257">
                  <w:rPr>
                    <w:noProof/>
                    <w:webHidden/>
                  </w:rPr>
                  <w:fldChar w:fldCharType="begin"/>
                </w:r>
                <w:r w:rsidR="009D5257">
                  <w:rPr>
                    <w:noProof/>
                    <w:webHidden/>
                  </w:rPr>
                  <w:instrText xml:space="preserve"> PAGEREF _Toc90995810 \h </w:instrText>
                </w:r>
                <w:r w:rsidR="009D5257">
                  <w:rPr>
                    <w:noProof/>
                    <w:webHidden/>
                  </w:rPr>
                </w:r>
                <w:r w:rsidR="009D5257">
                  <w:rPr>
                    <w:noProof/>
                    <w:webHidden/>
                  </w:rPr>
                  <w:fldChar w:fldCharType="separate"/>
                </w:r>
                <w:r w:rsidR="00355A8E">
                  <w:rPr>
                    <w:noProof/>
                    <w:webHidden/>
                  </w:rPr>
                  <w:t>21</w:t>
                </w:r>
                <w:r w:rsidR="009D5257">
                  <w:rPr>
                    <w:noProof/>
                    <w:webHidden/>
                  </w:rPr>
                  <w:fldChar w:fldCharType="end"/>
                </w:r>
              </w:hyperlink>
            </w:p>
            <w:p w14:paraId="45C7B657" w14:textId="70033AE8" w:rsidR="009D5257" w:rsidRDefault="003F2A25" w:rsidP="006A055F">
              <w:pPr>
                <w:pStyle w:val="TDC3"/>
                <w:tabs>
                  <w:tab w:val="right" w:leader="dot" w:pos="8828"/>
                </w:tabs>
                <w:ind w:left="0"/>
                <w:rPr>
                  <w:rFonts w:eastAsiaTheme="minorEastAsia"/>
                  <w:noProof/>
                  <w:sz w:val="22"/>
                  <w:lang w:eastAsia="es-MX"/>
                </w:rPr>
              </w:pPr>
              <w:hyperlink w:anchor="_Toc90995811" w:history="1">
                <w:r w:rsidR="009D5257" w:rsidRPr="00C3605A">
                  <w:rPr>
                    <w:rStyle w:val="Hipervnculo"/>
                    <w:noProof/>
                  </w:rPr>
                  <w:t>EDUCACIÓN.</w:t>
                </w:r>
                <w:r w:rsidR="009D5257">
                  <w:rPr>
                    <w:noProof/>
                    <w:webHidden/>
                  </w:rPr>
                  <w:tab/>
                </w:r>
                <w:r w:rsidR="009D5257">
                  <w:rPr>
                    <w:noProof/>
                    <w:webHidden/>
                  </w:rPr>
                  <w:fldChar w:fldCharType="begin"/>
                </w:r>
                <w:r w:rsidR="009D5257">
                  <w:rPr>
                    <w:noProof/>
                    <w:webHidden/>
                  </w:rPr>
                  <w:instrText xml:space="preserve"> PAGEREF _Toc90995811 \h </w:instrText>
                </w:r>
                <w:r w:rsidR="009D5257">
                  <w:rPr>
                    <w:noProof/>
                    <w:webHidden/>
                  </w:rPr>
                </w:r>
                <w:r w:rsidR="009D5257">
                  <w:rPr>
                    <w:noProof/>
                    <w:webHidden/>
                  </w:rPr>
                  <w:fldChar w:fldCharType="separate"/>
                </w:r>
                <w:r w:rsidR="00355A8E">
                  <w:rPr>
                    <w:noProof/>
                    <w:webHidden/>
                  </w:rPr>
                  <w:t>22</w:t>
                </w:r>
                <w:r w:rsidR="009D5257">
                  <w:rPr>
                    <w:noProof/>
                    <w:webHidden/>
                  </w:rPr>
                  <w:fldChar w:fldCharType="end"/>
                </w:r>
              </w:hyperlink>
            </w:p>
            <w:p w14:paraId="19AAFF20" w14:textId="77777777" w:rsidR="009D5257" w:rsidRDefault="003F2A25" w:rsidP="006A055F">
              <w:pPr>
                <w:pStyle w:val="TDC3"/>
                <w:tabs>
                  <w:tab w:val="right" w:leader="dot" w:pos="8828"/>
                </w:tabs>
                <w:ind w:left="0"/>
                <w:rPr>
                  <w:rFonts w:eastAsiaTheme="minorEastAsia"/>
                  <w:noProof/>
                  <w:sz w:val="22"/>
                  <w:lang w:eastAsia="es-MX"/>
                </w:rPr>
              </w:pPr>
              <w:hyperlink w:anchor="_Toc90995812" w:history="1">
                <w:r w:rsidR="009D5257" w:rsidRPr="00C3605A">
                  <w:rPr>
                    <w:rStyle w:val="Hipervnculo"/>
                    <w:noProof/>
                  </w:rPr>
                  <w:t>SALUD.</w:t>
                </w:r>
                <w:r w:rsidR="009D5257">
                  <w:rPr>
                    <w:noProof/>
                    <w:webHidden/>
                  </w:rPr>
                  <w:tab/>
                </w:r>
                <w:r w:rsidR="009D5257">
                  <w:rPr>
                    <w:noProof/>
                    <w:webHidden/>
                  </w:rPr>
                  <w:fldChar w:fldCharType="begin"/>
                </w:r>
                <w:r w:rsidR="009D5257">
                  <w:rPr>
                    <w:noProof/>
                    <w:webHidden/>
                  </w:rPr>
                  <w:instrText xml:space="preserve"> PAGEREF _Toc90995812 \h </w:instrText>
                </w:r>
                <w:r w:rsidR="009D5257">
                  <w:rPr>
                    <w:noProof/>
                    <w:webHidden/>
                  </w:rPr>
                </w:r>
                <w:r w:rsidR="009D5257">
                  <w:rPr>
                    <w:noProof/>
                    <w:webHidden/>
                  </w:rPr>
                  <w:fldChar w:fldCharType="separate"/>
                </w:r>
                <w:r w:rsidR="00355A8E">
                  <w:rPr>
                    <w:noProof/>
                    <w:webHidden/>
                  </w:rPr>
                  <w:t>26</w:t>
                </w:r>
                <w:r w:rsidR="009D5257">
                  <w:rPr>
                    <w:noProof/>
                    <w:webHidden/>
                  </w:rPr>
                  <w:fldChar w:fldCharType="end"/>
                </w:r>
              </w:hyperlink>
            </w:p>
            <w:p w14:paraId="500A2818" w14:textId="77777777" w:rsidR="009D5257" w:rsidRDefault="003F2A25" w:rsidP="006A055F">
              <w:pPr>
                <w:pStyle w:val="TDC2"/>
                <w:ind w:left="0"/>
                <w:rPr>
                  <w:rFonts w:eastAsiaTheme="minorEastAsia"/>
                  <w:noProof/>
                  <w:sz w:val="22"/>
                  <w:lang w:eastAsia="es-MX"/>
                </w:rPr>
              </w:pPr>
              <w:hyperlink w:anchor="_Toc90995813" w:history="1">
                <w:r w:rsidR="009D5257" w:rsidRPr="00C3605A">
                  <w:rPr>
                    <w:rStyle w:val="Hipervnculo"/>
                    <w:noProof/>
                  </w:rPr>
                  <w:t>PILAR ECONÓMICO.</w:t>
                </w:r>
                <w:r w:rsidR="009D5257">
                  <w:rPr>
                    <w:noProof/>
                    <w:webHidden/>
                  </w:rPr>
                  <w:tab/>
                </w:r>
                <w:r w:rsidR="009D5257">
                  <w:rPr>
                    <w:noProof/>
                    <w:webHidden/>
                  </w:rPr>
                  <w:fldChar w:fldCharType="begin"/>
                </w:r>
                <w:r w:rsidR="009D5257">
                  <w:rPr>
                    <w:noProof/>
                    <w:webHidden/>
                  </w:rPr>
                  <w:instrText xml:space="preserve"> PAGEREF _Toc90995813 \h </w:instrText>
                </w:r>
                <w:r w:rsidR="009D5257">
                  <w:rPr>
                    <w:noProof/>
                    <w:webHidden/>
                  </w:rPr>
                </w:r>
                <w:r w:rsidR="009D5257">
                  <w:rPr>
                    <w:noProof/>
                    <w:webHidden/>
                  </w:rPr>
                  <w:fldChar w:fldCharType="separate"/>
                </w:r>
                <w:r w:rsidR="00355A8E">
                  <w:rPr>
                    <w:noProof/>
                    <w:webHidden/>
                  </w:rPr>
                  <w:t>29</w:t>
                </w:r>
                <w:r w:rsidR="009D5257">
                  <w:rPr>
                    <w:noProof/>
                    <w:webHidden/>
                  </w:rPr>
                  <w:fldChar w:fldCharType="end"/>
                </w:r>
              </w:hyperlink>
            </w:p>
            <w:p w14:paraId="30B106C6" w14:textId="77777777" w:rsidR="009D5257" w:rsidRDefault="003F2A25" w:rsidP="006A055F">
              <w:pPr>
                <w:pStyle w:val="TDC3"/>
                <w:tabs>
                  <w:tab w:val="right" w:leader="dot" w:pos="8828"/>
                </w:tabs>
                <w:ind w:left="0"/>
                <w:rPr>
                  <w:rFonts w:eastAsiaTheme="minorEastAsia"/>
                  <w:noProof/>
                  <w:sz w:val="22"/>
                  <w:lang w:eastAsia="es-MX"/>
                </w:rPr>
              </w:pPr>
              <w:hyperlink w:anchor="_Toc90995814" w:history="1">
                <w:r w:rsidR="009D5257" w:rsidRPr="00C3605A">
                  <w:rPr>
                    <w:rStyle w:val="Hipervnculo"/>
                    <w:noProof/>
                  </w:rPr>
                  <w:t>INFRAESTRUCTURA.</w:t>
                </w:r>
                <w:r w:rsidR="009D5257">
                  <w:rPr>
                    <w:noProof/>
                    <w:webHidden/>
                  </w:rPr>
                  <w:tab/>
                </w:r>
                <w:r w:rsidR="009D5257">
                  <w:rPr>
                    <w:noProof/>
                    <w:webHidden/>
                  </w:rPr>
                  <w:fldChar w:fldCharType="begin"/>
                </w:r>
                <w:r w:rsidR="009D5257">
                  <w:rPr>
                    <w:noProof/>
                    <w:webHidden/>
                  </w:rPr>
                  <w:instrText xml:space="preserve"> PAGEREF _Toc90995814 \h </w:instrText>
                </w:r>
                <w:r w:rsidR="009D5257">
                  <w:rPr>
                    <w:noProof/>
                    <w:webHidden/>
                  </w:rPr>
                </w:r>
                <w:r w:rsidR="009D5257">
                  <w:rPr>
                    <w:noProof/>
                    <w:webHidden/>
                  </w:rPr>
                  <w:fldChar w:fldCharType="separate"/>
                </w:r>
                <w:r w:rsidR="00355A8E">
                  <w:rPr>
                    <w:noProof/>
                    <w:webHidden/>
                  </w:rPr>
                  <w:t>32</w:t>
                </w:r>
                <w:r w:rsidR="009D5257">
                  <w:rPr>
                    <w:noProof/>
                    <w:webHidden/>
                  </w:rPr>
                  <w:fldChar w:fldCharType="end"/>
                </w:r>
              </w:hyperlink>
            </w:p>
            <w:p w14:paraId="125D9C8B" w14:textId="77777777" w:rsidR="009D5257" w:rsidRDefault="003F2A25" w:rsidP="006A055F">
              <w:pPr>
                <w:pStyle w:val="TDC2"/>
                <w:ind w:left="0"/>
                <w:rPr>
                  <w:rFonts w:eastAsiaTheme="minorEastAsia"/>
                  <w:noProof/>
                  <w:sz w:val="22"/>
                  <w:lang w:eastAsia="es-MX"/>
                </w:rPr>
              </w:pPr>
              <w:hyperlink w:anchor="_Toc90995815" w:history="1">
                <w:r w:rsidR="009D5257" w:rsidRPr="00C3605A">
                  <w:rPr>
                    <w:rStyle w:val="Hipervnculo"/>
                    <w:noProof/>
                  </w:rPr>
                  <w:t>PILAR TERRITORIAL.</w:t>
                </w:r>
                <w:r w:rsidR="009D5257">
                  <w:rPr>
                    <w:noProof/>
                    <w:webHidden/>
                  </w:rPr>
                  <w:tab/>
                </w:r>
                <w:r w:rsidR="009D5257">
                  <w:rPr>
                    <w:noProof/>
                    <w:webHidden/>
                  </w:rPr>
                  <w:fldChar w:fldCharType="begin"/>
                </w:r>
                <w:r w:rsidR="009D5257">
                  <w:rPr>
                    <w:noProof/>
                    <w:webHidden/>
                  </w:rPr>
                  <w:instrText xml:space="preserve"> PAGEREF _Toc90995815 \h </w:instrText>
                </w:r>
                <w:r w:rsidR="009D5257">
                  <w:rPr>
                    <w:noProof/>
                    <w:webHidden/>
                  </w:rPr>
                </w:r>
                <w:r w:rsidR="009D5257">
                  <w:rPr>
                    <w:noProof/>
                    <w:webHidden/>
                  </w:rPr>
                  <w:fldChar w:fldCharType="separate"/>
                </w:r>
                <w:r w:rsidR="00355A8E">
                  <w:rPr>
                    <w:noProof/>
                    <w:webHidden/>
                  </w:rPr>
                  <w:t>34</w:t>
                </w:r>
                <w:r w:rsidR="009D5257">
                  <w:rPr>
                    <w:noProof/>
                    <w:webHidden/>
                  </w:rPr>
                  <w:fldChar w:fldCharType="end"/>
                </w:r>
              </w:hyperlink>
            </w:p>
            <w:p w14:paraId="2C4B4655" w14:textId="77777777" w:rsidR="009D5257" w:rsidRDefault="003F2A25" w:rsidP="006A055F">
              <w:pPr>
                <w:pStyle w:val="TDC3"/>
                <w:tabs>
                  <w:tab w:val="right" w:leader="dot" w:pos="8828"/>
                </w:tabs>
                <w:ind w:left="0"/>
                <w:rPr>
                  <w:rFonts w:eastAsiaTheme="minorEastAsia"/>
                  <w:noProof/>
                  <w:sz w:val="22"/>
                  <w:lang w:eastAsia="es-MX"/>
                </w:rPr>
              </w:pPr>
              <w:hyperlink w:anchor="_Toc90995816" w:history="1">
                <w:r w:rsidR="009D5257" w:rsidRPr="00C3605A">
                  <w:rPr>
                    <w:rStyle w:val="Hipervnculo"/>
                    <w:noProof/>
                  </w:rPr>
                  <w:t>ACCESIBILIDAD EN LA CIUDAD Y ESPACIO PÚBLICO</w:t>
                </w:r>
                <w:r w:rsidR="009D5257">
                  <w:rPr>
                    <w:noProof/>
                    <w:webHidden/>
                  </w:rPr>
                  <w:tab/>
                </w:r>
                <w:r w:rsidR="009D5257">
                  <w:rPr>
                    <w:noProof/>
                    <w:webHidden/>
                  </w:rPr>
                  <w:fldChar w:fldCharType="begin"/>
                </w:r>
                <w:r w:rsidR="009D5257">
                  <w:rPr>
                    <w:noProof/>
                    <w:webHidden/>
                  </w:rPr>
                  <w:instrText xml:space="preserve"> PAGEREF _Toc90995816 \h </w:instrText>
                </w:r>
                <w:r w:rsidR="009D5257">
                  <w:rPr>
                    <w:noProof/>
                    <w:webHidden/>
                  </w:rPr>
                </w:r>
                <w:r w:rsidR="009D5257">
                  <w:rPr>
                    <w:noProof/>
                    <w:webHidden/>
                  </w:rPr>
                  <w:fldChar w:fldCharType="separate"/>
                </w:r>
                <w:r w:rsidR="00355A8E">
                  <w:rPr>
                    <w:noProof/>
                    <w:webHidden/>
                  </w:rPr>
                  <w:t>38</w:t>
                </w:r>
                <w:r w:rsidR="009D5257">
                  <w:rPr>
                    <w:noProof/>
                    <w:webHidden/>
                  </w:rPr>
                  <w:fldChar w:fldCharType="end"/>
                </w:r>
              </w:hyperlink>
            </w:p>
            <w:p w14:paraId="5ED5E971" w14:textId="77777777" w:rsidR="009D5257" w:rsidRDefault="003F2A25" w:rsidP="006A055F">
              <w:pPr>
                <w:pStyle w:val="TDC2"/>
                <w:ind w:left="0"/>
                <w:rPr>
                  <w:rFonts w:eastAsiaTheme="minorEastAsia"/>
                  <w:noProof/>
                  <w:sz w:val="22"/>
                  <w:lang w:eastAsia="es-MX"/>
                </w:rPr>
              </w:pPr>
              <w:hyperlink w:anchor="_Toc90995817" w:history="1">
                <w:r w:rsidR="009D5257" w:rsidRPr="00C3605A">
                  <w:rPr>
                    <w:rStyle w:val="Hipervnculo"/>
                    <w:noProof/>
                  </w:rPr>
                  <w:t>PILAR DE SEGURIDAD.</w:t>
                </w:r>
                <w:r w:rsidR="009D5257">
                  <w:rPr>
                    <w:noProof/>
                    <w:webHidden/>
                  </w:rPr>
                  <w:tab/>
                </w:r>
                <w:r w:rsidR="009D5257">
                  <w:rPr>
                    <w:noProof/>
                    <w:webHidden/>
                  </w:rPr>
                  <w:fldChar w:fldCharType="begin"/>
                </w:r>
                <w:r w:rsidR="009D5257">
                  <w:rPr>
                    <w:noProof/>
                    <w:webHidden/>
                  </w:rPr>
                  <w:instrText xml:space="preserve"> PAGEREF _Toc90995817 \h </w:instrText>
                </w:r>
                <w:r w:rsidR="009D5257">
                  <w:rPr>
                    <w:noProof/>
                    <w:webHidden/>
                  </w:rPr>
                </w:r>
                <w:r w:rsidR="009D5257">
                  <w:rPr>
                    <w:noProof/>
                    <w:webHidden/>
                  </w:rPr>
                  <w:fldChar w:fldCharType="separate"/>
                </w:r>
                <w:r w:rsidR="00355A8E">
                  <w:rPr>
                    <w:noProof/>
                    <w:webHidden/>
                  </w:rPr>
                  <w:t>40</w:t>
                </w:r>
                <w:r w:rsidR="009D5257">
                  <w:rPr>
                    <w:noProof/>
                    <w:webHidden/>
                  </w:rPr>
                  <w:fldChar w:fldCharType="end"/>
                </w:r>
              </w:hyperlink>
            </w:p>
            <w:p w14:paraId="1E838925" w14:textId="77777777" w:rsidR="009D5257" w:rsidRDefault="003F2A25" w:rsidP="006A055F">
              <w:pPr>
                <w:pStyle w:val="TDC2"/>
                <w:ind w:left="0"/>
                <w:rPr>
                  <w:rFonts w:eastAsiaTheme="minorEastAsia"/>
                  <w:noProof/>
                  <w:sz w:val="22"/>
                  <w:lang w:eastAsia="es-MX"/>
                </w:rPr>
              </w:pPr>
              <w:hyperlink w:anchor="_Toc90995819" w:history="1">
                <w:r w:rsidR="009D5257" w:rsidRPr="00C3605A">
                  <w:rPr>
                    <w:rStyle w:val="Hipervnculo"/>
                    <w:noProof/>
                  </w:rPr>
                  <w:t>IGUALDAD DE GÉNERO.</w:t>
                </w:r>
                <w:r w:rsidR="009D5257">
                  <w:rPr>
                    <w:noProof/>
                    <w:webHidden/>
                  </w:rPr>
                  <w:tab/>
                </w:r>
                <w:r w:rsidR="009D5257">
                  <w:rPr>
                    <w:noProof/>
                    <w:webHidden/>
                  </w:rPr>
                  <w:fldChar w:fldCharType="begin"/>
                </w:r>
                <w:r w:rsidR="009D5257">
                  <w:rPr>
                    <w:noProof/>
                    <w:webHidden/>
                  </w:rPr>
                  <w:instrText xml:space="preserve"> PAGEREF _Toc90995819 \h </w:instrText>
                </w:r>
                <w:r w:rsidR="009D5257">
                  <w:rPr>
                    <w:noProof/>
                    <w:webHidden/>
                  </w:rPr>
                </w:r>
                <w:r w:rsidR="009D5257">
                  <w:rPr>
                    <w:noProof/>
                    <w:webHidden/>
                  </w:rPr>
                  <w:fldChar w:fldCharType="separate"/>
                </w:r>
                <w:r w:rsidR="00355A8E">
                  <w:rPr>
                    <w:noProof/>
                    <w:webHidden/>
                  </w:rPr>
                  <w:t>42</w:t>
                </w:r>
                <w:r w:rsidR="009D5257">
                  <w:rPr>
                    <w:noProof/>
                    <w:webHidden/>
                  </w:rPr>
                  <w:fldChar w:fldCharType="end"/>
                </w:r>
              </w:hyperlink>
            </w:p>
            <w:p w14:paraId="37310963" w14:textId="77777777" w:rsidR="009D5257" w:rsidRDefault="003F2A25" w:rsidP="006A055F">
              <w:pPr>
                <w:pStyle w:val="TDC2"/>
                <w:ind w:left="0"/>
                <w:rPr>
                  <w:rFonts w:eastAsiaTheme="minorEastAsia"/>
                  <w:noProof/>
                  <w:sz w:val="22"/>
                  <w:lang w:eastAsia="es-MX"/>
                </w:rPr>
              </w:pPr>
              <w:hyperlink w:anchor="_Toc90995820" w:history="1">
                <w:r w:rsidR="009D5257" w:rsidRPr="00C3605A">
                  <w:rPr>
                    <w:rStyle w:val="Hipervnculo"/>
                    <w:noProof/>
                  </w:rPr>
                  <w:t>GOBIERNO CAPAZ Y RESPONSABLE.</w:t>
                </w:r>
                <w:r w:rsidR="009D5257">
                  <w:rPr>
                    <w:noProof/>
                    <w:webHidden/>
                  </w:rPr>
                  <w:tab/>
                </w:r>
                <w:r w:rsidR="009D5257">
                  <w:rPr>
                    <w:noProof/>
                    <w:webHidden/>
                  </w:rPr>
                  <w:fldChar w:fldCharType="begin"/>
                </w:r>
                <w:r w:rsidR="009D5257">
                  <w:rPr>
                    <w:noProof/>
                    <w:webHidden/>
                  </w:rPr>
                  <w:instrText xml:space="preserve"> PAGEREF _Toc90995820 \h </w:instrText>
                </w:r>
                <w:r w:rsidR="009D5257">
                  <w:rPr>
                    <w:noProof/>
                    <w:webHidden/>
                  </w:rPr>
                </w:r>
                <w:r w:rsidR="009D5257">
                  <w:rPr>
                    <w:noProof/>
                    <w:webHidden/>
                  </w:rPr>
                  <w:fldChar w:fldCharType="separate"/>
                </w:r>
                <w:r w:rsidR="00355A8E">
                  <w:rPr>
                    <w:noProof/>
                    <w:webHidden/>
                  </w:rPr>
                  <w:t>43</w:t>
                </w:r>
                <w:r w:rsidR="009D5257">
                  <w:rPr>
                    <w:noProof/>
                    <w:webHidden/>
                  </w:rPr>
                  <w:fldChar w:fldCharType="end"/>
                </w:r>
              </w:hyperlink>
            </w:p>
            <w:p w14:paraId="6F41F699" w14:textId="77777777" w:rsidR="009D5257" w:rsidRDefault="003F2A25" w:rsidP="006A055F">
              <w:pPr>
                <w:pStyle w:val="TDC2"/>
                <w:ind w:left="0"/>
                <w:rPr>
                  <w:rFonts w:eastAsiaTheme="minorEastAsia"/>
                  <w:noProof/>
                  <w:sz w:val="22"/>
                  <w:lang w:eastAsia="es-MX"/>
                </w:rPr>
              </w:pPr>
              <w:hyperlink w:anchor="_Toc90995821" w:history="1">
                <w:r w:rsidR="009D5257" w:rsidRPr="00C3605A">
                  <w:rPr>
                    <w:rStyle w:val="Hipervnculo"/>
                    <w:noProof/>
                  </w:rPr>
                  <w:t>CONECTIVIDAD Y TECNOLOGÍA PARA EL BUEN GOBIERNO.</w:t>
                </w:r>
                <w:r w:rsidR="009D5257">
                  <w:rPr>
                    <w:noProof/>
                    <w:webHidden/>
                  </w:rPr>
                  <w:tab/>
                </w:r>
                <w:r w:rsidR="009D5257">
                  <w:rPr>
                    <w:noProof/>
                    <w:webHidden/>
                  </w:rPr>
                  <w:fldChar w:fldCharType="begin"/>
                </w:r>
                <w:r w:rsidR="009D5257">
                  <w:rPr>
                    <w:noProof/>
                    <w:webHidden/>
                  </w:rPr>
                  <w:instrText xml:space="preserve"> PAGEREF _Toc90995821 \h </w:instrText>
                </w:r>
                <w:r w:rsidR="009D5257">
                  <w:rPr>
                    <w:noProof/>
                    <w:webHidden/>
                  </w:rPr>
                </w:r>
                <w:r w:rsidR="009D5257">
                  <w:rPr>
                    <w:noProof/>
                    <w:webHidden/>
                  </w:rPr>
                  <w:fldChar w:fldCharType="separate"/>
                </w:r>
                <w:r w:rsidR="00355A8E">
                  <w:rPr>
                    <w:noProof/>
                    <w:webHidden/>
                  </w:rPr>
                  <w:t>45</w:t>
                </w:r>
                <w:r w:rsidR="009D5257">
                  <w:rPr>
                    <w:noProof/>
                    <w:webHidden/>
                  </w:rPr>
                  <w:fldChar w:fldCharType="end"/>
                </w:r>
              </w:hyperlink>
            </w:p>
            <w:p w14:paraId="509E5167" w14:textId="77777777" w:rsidR="009D5257" w:rsidRDefault="003F2A25" w:rsidP="006A055F">
              <w:pPr>
                <w:pStyle w:val="TDC1"/>
                <w:rPr>
                  <w:rFonts w:eastAsiaTheme="minorEastAsia"/>
                  <w:noProof/>
                  <w:sz w:val="22"/>
                  <w:lang w:eastAsia="es-MX"/>
                </w:rPr>
              </w:pPr>
              <w:hyperlink w:anchor="_Toc90995822" w:history="1">
                <w:r w:rsidR="009D5257" w:rsidRPr="00C3605A">
                  <w:rPr>
                    <w:rStyle w:val="Hipervnculo"/>
                    <w:noProof/>
                  </w:rPr>
                  <w:t>DEUDA PÚBLICA.</w:t>
                </w:r>
                <w:r w:rsidR="009D5257">
                  <w:rPr>
                    <w:noProof/>
                    <w:webHidden/>
                  </w:rPr>
                  <w:tab/>
                </w:r>
                <w:r w:rsidR="009D5257">
                  <w:rPr>
                    <w:noProof/>
                    <w:webHidden/>
                  </w:rPr>
                  <w:fldChar w:fldCharType="begin"/>
                </w:r>
                <w:r w:rsidR="009D5257">
                  <w:rPr>
                    <w:noProof/>
                    <w:webHidden/>
                  </w:rPr>
                  <w:instrText xml:space="preserve"> PAGEREF _Toc90995822 \h </w:instrText>
                </w:r>
                <w:r w:rsidR="009D5257">
                  <w:rPr>
                    <w:noProof/>
                    <w:webHidden/>
                  </w:rPr>
                </w:r>
                <w:r w:rsidR="009D5257">
                  <w:rPr>
                    <w:noProof/>
                    <w:webHidden/>
                  </w:rPr>
                  <w:fldChar w:fldCharType="separate"/>
                </w:r>
                <w:r w:rsidR="00355A8E">
                  <w:rPr>
                    <w:noProof/>
                    <w:webHidden/>
                  </w:rPr>
                  <w:t>46</w:t>
                </w:r>
                <w:r w:rsidR="009D5257">
                  <w:rPr>
                    <w:noProof/>
                    <w:webHidden/>
                  </w:rPr>
                  <w:fldChar w:fldCharType="end"/>
                </w:r>
              </w:hyperlink>
            </w:p>
            <w:p w14:paraId="64A5C5FD" w14:textId="77777777" w:rsidR="009D5257" w:rsidRDefault="003F2A25" w:rsidP="006A055F">
              <w:pPr>
                <w:pStyle w:val="TDC1"/>
                <w:rPr>
                  <w:rFonts w:eastAsiaTheme="minorEastAsia"/>
                  <w:noProof/>
                  <w:sz w:val="22"/>
                  <w:lang w:eastAsia="es-MX"/>
                </w:rPr>
              </w:pPr>
              <w:hyperlink w:anchor="_Toc90995823" w:history="1">
                <w:r w:rsidR="009D5257" w:rsidRPr="00C3605A">
                  <w:rPr>
                    <w:rStyle w:val="Hipervnculo"/>
                    <w:noProof/>
                  </w:rPr>
                  <w:t>CONCLUSIÓN.</w:t>
                </w:r>
                <w:r w:rsidR="009D5257">
                  <w:rPr>
                    <w:noProof/>
                    <w:webHidden/>
                  </w:rPr>
                  <w:tab/>
                </w:r>
                <w:r w:rsidR="009D5257">
                  <w:rPr>
                    <w:noProof/>
                    <w:webHidden/>
                  </w:rPr>
                  <w:fldChar w:fldCharType="begin"/>
                </w:r>
                <w:r w:rsidR="009D5257">
                  <w:rPr>
                    <w:noProof/>
                    <w:webHidden/>
                  </w:rPr>
                  <w:instrText xml:space="preserve"> PAGEREF _Toc90995823 \h </w:instrText>
                </w:r>
                <w:r w:rsidR="009D5257">
                  <w:rPr>
                    <w:noProof/>
                    <w:webHidden/>
                  </w:rPr>
                </w:r>
                <w:r w:rsidR="009D5257">
                  <w:rPr>
                    <w:noProof/>
                    <w:webHidden/>
                  </w:rPr>
                  <w:fldChar w:fldCharType="separate"/>
                </w:r>
                <w:r w:rsidR="00355A8E">
                  <w:rPr>
                    <w:noProof/>
                    <w:webHidden/>
                  </w:rPr>
                  <w:t>49</w:t>
                </w:r>
                <w:r w:rsidR="009D5257">
                  <w:rPr>
                    <w:noProof/>
                    <w:webHidden/>
                  </w:rPr>
                  <w:fldChar w:fldCharType="end"/>
                </w:r>
              </w:hyperlink>
            </w:p>
            <w:p w14:paraId="46A9787D" w14:textId="77777777" w:rsidR="009D5257" w:rsidRDefault="003F2A25" w:rsidP="006A055F">
              <w:pPr>
                <w:pStyle w:val="TDC1"/>
                <w:rPr>
                  <w:rFonts w:eastAsiaTheme="minorEastAsia"/>
                  <w:noProof/>
                  <w:sz w:val="22"/>
                  <w:lang w:eastAsia="es-MX"/>
                </w:rPr>
              </w:pPr>
              <w:hyperlink w:anchor="_Toc90995824" w:history="1">
                <w:r w:rsidR="009D5257" w:rsidRPr="00C3605A">
                  <w:rPr>
                    <w:rStyle w:val="Hipervnculo"/>
                    <w:noProof/>
                  </w:rPr>
                  <w:t>BIBLIOGRAFÍA</w:t>
                </w:r>
                <w:r w:rsidR="009D5257">
                  <w:rPr>
                    <w:noProof/>
                    <w:webHidden/>
                  </w:rPr>
                  <w:tab/>
                </w:r>
                <w:r w:rsidR="009D5257">
                  <w:rPr>
                    <w:noProof/>
                    <w:webHidden/>
                  </w:rPr>
                  <w:fldChar w:fldCharType="begin"/>
                </w:r>
                <w:r w:rsidR="009D5257">
                  <w:rPr>
                    <w:noProof/>
                    <w:webHidden/>
                  </w:rPr>
                  <w:instrText xml:space="preserve"> PAGEREF _Toc90995824 \h </w:instrText>
                </w:r>
                <w:r w:rsidR="009D5257">
                  <w:rPr>
                    <w:noProof/>
                    <w:webHidden/>
                  </w:rPr>
                </w:r>
                <w:r w:rsidR="009D5257">
                  <w:rPr>
                    <w:noProof/>
                    <w:webHidden/>
                  </w:rPr>
                  <w:fldChar w:fldCharType="separate"/>
                </w:r>
                <w:r w:rsidR="00355A8E">
                  <w:rPr>
                    <w:noProof/>
                    <w:webHidden/>
                  </w:rPr>
                  <w:t>50</w:t>
                </w:r>
                <w:r w:rsidR="009D5257">
                  <w:rPr>
                    <w:noProof/>
                    <w:webHidden/>
                  </w:rPr>
                  <w:fldChar w:fldCharType="end"/>
                </w:r>
              </w:hyperlink>
            </w:p>
            <w:p w14:paraId="0B4B5FEA" w14:textId="3FA8C7D8" w:rsidR="00E642E2" w:rsidRDefault="00E642E2" w:rsidP="00830B0F">
              <w:pPr>
                <w:jc w:val="right"/>
              </w:pPr>
              <w:r>
                <w:rPr>
                  <w:b/>
                  <w:bCs/>
                  <w:lang w:val="es-ES"/>
                </w:rPr>
                <w:fldChar w:fldCharType="end"/>
              </w:r>
            </w:p>
          </w:sdtContent>
        </w:sdt>
        <w:p w14:paraId="03F2A92A" w14:textId="0505644F" w:rsidR="00510429" w:rsidRDefault="00510429" w:rsidP="00830B0F">
          <w:pPr>
            <w:jc w:val="right"/>
            <w:rPr>
              <w:rFonts w:ascii="Arial" w:hAnsi="Arial" w:cs="Arial"/>
            </w:rPr>
          </w:pPr>
        </w:p>
        <w:p w14:paraId="0A564C59" w14:textId="77777777" w:rsidR="00307E85" w:rsidRDefault="00307E85" w:rsidP="004B5CE5">
          <w:pPr>
            <w:pStyle w:val="Ttulo1"/>
          </w:pPr>
          <w:bookmarkStart w:id="5" w:name="_Toc90995804"/>
        </w:p>
        <w:p w14:paraId="6AFC0AC7" w14:textId="6F961049" w:rsidR="00EA6E67" w:rsidRDefault="00510429" w:rsidP="004B5CE5">
          <w:pPr>
            <w:pStyle w:val="Ttulo1"/>
          </w:pPr>
          <w:r w:rsidRPr="00000970">
            <w:t>INTRODUCCIÓN.</w:t>
          </w:r>
          <w:bookmarkEnd w:id="5"/>
        </w:p>
        <w:p w14:paraId="220C26B3" w14:textId="77777777" w:rsidR="006F5FED" w:rsidRPr="006F5FED" w:rsidRDefault="006F5FED" w:rsidP="006F5FED"/>
        <w:p w14:paraId="38E3B806" w14:textId="77777777" w:rsidR="006F5FED" w:rsidRPr="0072205D" w:rsidRDefault="006F5FED" w:rsidP="006F5FED">
          <w:pPr>
            <w:pStyle w:val="NormalWeb"/>
            <w:shd w:val="clear" w:color="auto" w:fill="FFFFFF"/>
            <w:spacing w:before="0" w:beforeAutospacing="0" w:line="276" w:lineRule="auto"/>
            <w:jc w:val="both"/>
            <w:rPr>
              <w:rFonts w:ascii="Arial" w:eastAsiaTheme="minorEastAsia" w:hAnsi="Arial" w:cs="Arial"/>
              <w:sz w:val="20"/>
              <w:szCs w:val="20"/>
              <w:lang w:val="es-MX" w:eastAsia="en-US"/>
            </w:rPr>
          </w:pPr>
          <w:r w:rsidRPr="0072205D">
            <w:rPr>
              <w:rFonts w:ascii="Arial" w:eastAsiaTheme="minorEastAsia" w:hAnsi="Arial" w:cs="Arial"/>
              <w:sz w:val="20"/>
              <w:szCs w:val="20"/>
              <w:lang w:val="es-MX" w:eastAsia="en-US"/>
            </w:rPr>
            <w:t>El 2020 fue un año atípico fuera de toda proyección presupuestal, la trayectoria económica estuvo estrechamente ligada a la evolución de los contagios por COVID-19, el confinamiento y las medidas sanitarias implementadas.</w:t>
          </w:r>
        </w:p>
        <w:p w14:paraId="13179327" w14:textId="77777777" w:rsidR="006F5FED" w:rsidRPr="00A1082B" w:rsidRDefault="006F5FED" w:rsidP="006F5FED">
          <w:pPr>
            <w:shd w:val="clear" w:color="auto" w:fill="FFFFFF"/>
            <w:spacing w:after="100" w:afterAutospacing="1" w:line="276" w:lineRule="auto"/>
            <w:jc w:val="both"/>
            <w:rPr>
              <w:rFonts w:ascii="Arial" w:hAnsi="Arial" w:cs="Arial"/>
            </w:rPr>
          </w:pPr>
          <w:r>
            <w:rPr>
              <w:rFonts w:ascii="Arial" w:hAnsi="Arial" w:cs="Arial"/>
            </w:rPr>
            <w:t xml:space="preserve">Las </w:t>
          </w:r>
          <w:r w:rsidRPr="0072205D">
            <w:rPr>
              <w:rFonts w:ascii="Arial" w:hAnsi="Arial" w:cs="Arial"/>
            </w:rPr>
            <w:t>acciones inmediatas para atender la situación</w:t>
          </w:r>
          <w:r>
            <w:rPr>
              <w:rFonts w:ascii="Arial" w:hAnsi="Arial" w:cs="Arial"/>
            </w:rPr>
            <w:t xml:space="preserve"> de emergencia médica, sanitaria y de salud pública </w:t>
          </w:r>
          <w:r w:rsidRPr="0072205D">
            <w:rPr>
              <w:rFonts w:ascii="Arial" w:hAnsi="Arial" w:cs="Arial"/>
            </w:rPr>
            <w:t xml:space="preserve">en el Estado de México, generó las mayores afectaciones económicas, </w:t>
          </w:r>
          <w:r>
            <w:rPr>
              <w:rFonts w:ascii="Arial" w:hAnsi="Arial" w:cs="Arial"/>
            </w:rPr>
            <w:t xml:space="preserve">y modificaciones a las partidas presupuestales. </w:t>
          </w:r>
        </w:p>
        <w:p w14:paraId="0A74F1E6" w14:textId="77777777" w:rsidR="006F5FED" w:rsidRDefault="006F5FED" w:rsidP="006F5FED">
          <w:pPr>
            <w:spacing w:line="360" w:lineRule="auto"/>
            <w:jc w:val="both"/>
            <w:rPr>
              <w:rFonts w:ascii="Arial" w:hAnsi="Arial" w:cs="Arial"/>
            </w:rPr>
          </w:pPr>
          <w:r w:rsidRPr="00A1082B">
            <w:rPr>
              <w:rFonts w:ascii="Arial" w:hAnsi="Arial" w:cs="Arial"/>
            </w:rPr>
            <w:t>En México se comenzaron a implementar medidas tendientes a proteger la población del virus SARSCoV</w:t>
          </w:r>
          <w:r>
            <w:rPr>
              <w:rFonts w:ascii="Arial" w:hAnsi="Arial" w:cs="Arial"/>
            </w:rPr>
            <w:t>2 (COVID-19). A</w:t>
          </w:r>
          <w:r w:rsidRPr="00A1082B">
            <w:rPr>
              <w:rFonts w:ascii="Arial" w:hAnsi="Arial" w:cs="Arial"/>
            </w:rPr>
            <w:t xml:space="preserve"> partir de la publicación en el Diario Oficial de la Federación (DOF) del Acuerdo por el que se establecen acciones extraordinarias para atender la emergencia sanitaria generada por el virus SARS-CoV2, desde el 31 de marzo se suspendieron todas las actividades no esenciales; lo que implicó una modificación radical</w:t>
          </w:r>
          <w:r>
            <w:rPr>
              <w:rFonts w:ascii="Arial" w:hAnsi="Arial" w:cs="Arial"/>
            </w:rPr>
            <w:t xml:space="preserve"> a los programas y metas proyectados, destinando los recursos </w:t>
          </w:r>
          <w:r w:rsidRPr="00A1082B">
            <w:rPr>
              <w:rFonts w:ascii="Arial" w:hAnsi="Arial" w:cs="Arial"/>
            </w:rPr>
            <w:t>a la atención de la salud en medio de la pandemia, las problemáticas identificadas como de atención prioritaria. El Presupuesto de Egresos</w:t>
          </w:r>
          <w:r>
            <w:rPr>
              <w:rFonts w:ascii="Arial" w:hAnsi="Arial" w:cs="Arial"/>
            </w:rPr>
            <w:t xml:space="preserve"> es una</w:t>
          </w:r>
          <w:r w:rsidRPr="00A1082B">
            <w:rPr>
              <w:rFonts w:ascii="Arial" w:hAnsi="Arial" w:cs="Arial"/>
            </w:rPr>
            <w:t xml:space="preserve"> herra</w:t>
          </w:r>
          <w:r>
            <w:rPr>
              <w:rFonts w:ascii="Arial" w:hAnsi="Arial" w:cs="Arial"/>
            </w:rPr>
            <w:t>mienta para la cumplir las tareas u objetivos de gobierno</w:t>
          </w:r>
          <w:r w:rsidRPr="00A1082B">
            <w:rPr>
              <w:rFonts w:ascii="Arial" w:hAnsi="Arial" w:cs="Arial"/>
            </w:rPr>
            <w:t xml:space="preserve"> para la solución de problemas o atención de </w:t>
          </w:r>
          <w:r>
            <w:rPr>
              <w:rFonts w:ascii="Arial" w:hAnsi="Arial" w:cs="Arial"/>
            </w:rPr>
            <w:t>las necesidades del estado.</w:t>
          </w:r>
        </w:p>
        <w:p w14:paraId="4370B6E8" w14:textId="1B7298CC" w:rsidR="006F5FED" w:rsidRPr="00DF7E44" w:rsidRDefault="006F5FED" w:rsidP="006F5FED">
          <w:pPr>
            <w:spacing w:line="360" w:lineRule="auto"/>
            <w:jc w:val="both"/>
            <w:rPr>
              <w:rFonts w:ascii="Arial" w:hAnsi="Arial" w:cs="Arial"/>
            </w:rPr>
          </w:pPr>
          <w:r>
            <w:rPr>
              <w:rFonts w:ascii="Arial" w:hAnsi="Arial" w:cs="Arial"/>
            </w:rPr>
            <w:t>La presente investigación, tiene como objetivo analizar y detallar</w:t>
          </w:r>
          <w:r w:rsidRPr="00DF7E44">
            <w:rPr>
              <w:rFonts w:ascii="Arial" w:hAnsi="Arial" w:cs="Arial"/>
            </w:rPr>
            <w:t xml:space="preserve"> la cuenta pública 2020 en el Estado de México, su presupuesto de ingresos y de egresos, así como la manera en que se ejercieron, para el cumplimiento de objetivos del gobierno, ya sean; programas, actividades, infraestructura, modernización de carreteras, construcción de espacios y autopistas, etc</w:t>
          </w:r>
          <w:r>
            <w:rPr>
              <w:rFonts w:ascii="Arial" w:hAnsi="Arial" w:cs="Arial"/>
            </w:rPr>
            <w:t>; dando a conocer las circunstancias que se presentaron derivadas de la Covid-19, impactando el cumplimento de las metas con forme al ejercicio presupuestal.</w:t>
          </w:r>
          <w:r w:rsidRPr="00DF7E44">
            <w:rPr>
              <w:rFonts w:ascii="Arial" w:hAnsi="Arial" w:cs="Arial"/>
            </w:rPr>
            <w:t xml:space="preserve"> </w:t>
          </w:r>
          <w:r>
            <w:rPr>
              <w:rFonts w:ascii="Arial" w:hAnsi="Arial" w:cs="Arial"/>
            </w:rPr>
            <w:t>En este contexto</w:t>
          </w:r>
          <w:r w:rsidRPr="00DF7E44">
            <w:rPr>
              <w:rFonts w:ascii="Arial" w:hAnsi="Arial" w:cs="Arial"/>
            </w:rPr>
            <w:t xml:space="preserve"> </w:t>
          </w:r>
          <w:r>
            <w:rPr>
              <w:rFonts w:ascii="Arial" w:hAnsi="Arial" w:cs="Arial"/>
            </w:rPr>
            <w:t xml:space="preserve">el </w:t>
          </w:r>
          <w:r w:rsidRPr="00DF7E44">
            <w:rPr>
              <w:rFonts w:ascii="Arial" w:hAnsi="Arial" w:cs="Arial"/>
            </w:rPr>
            <w:t xml:space="preserve">manejo de recursos debe hacerse de manera transparente, como eje central se tiene el reactivar la economía local, combatir la pobreza en nuestro Estado, tener mayor y mejor equipo de salud, contar con el </w:t>
          </w:r>
          <w:r w:rsidRPr="00DF7E44">
            <w:rPr>
              <w:rFonts w:ascii="Arial" w:hAnsi="Arial" w:cs="Arial"/>
            </w:rPr>
            <w:lastRenderedPageBreak/>
            <w:t xml:space="preserve">personal necesario (de salud, </w:t>
          </w:r>
          <w:r>
            <w:rPr>
              <w:rFonts w:ascii="Arial" w:hAnsi="Arial" w:cs="Arial"/>
            </w:rPr>
            <w:t>maestro</w:t>
          </w:r>
          <w:r w:rsidR="00295041">
            <w:rPr>
              <w:rFonts w:ascii="Arial" w:hAnsi="Arial" w:cs="Arial"/>
            </w:rPr>
            <w:t>,</w:t>
          </w:r>
          <w:r>
            <w:rPr>
              <w:rFonts w:ascii="Arial" w:hAnsi="Arial" w:cs="Arial"/>
            </w:rPr>
            <w:t xml:space="preserve"> policías, </w:t>
          </w:r>
          <w:r w:rsidRPr="00DF7E44">
            <w:rPr>
              <w:rFonts w:ascii="Arial" w:hAnsi="Arial" w:cs="Arial"/>
            </w:rPr>
            <w:t xml:space="preserve">autoridades, etc.), estar actualizados en los nuevos mercados y crear una cultura de emprendimiento. </w:t>
          </w:r>
        </w:p>
        <w:p w14:paraId="5625BE84" w14:textId="77777777" w:rsidR="006F5FED" w:rsidRDefault="006F5FED" w:rsidP="006F5FED">
          <w:pPr>
            <w:spacing w:line="360" w:lineRule="auto"/>
            <w:jc w:val="both"/>
            <w:rPr>
              <w:rFonts w:ascii="Arial" w:hAnsi="Arial" w:cs="Arial"/>
            </w:rPr>
          </w:pPr>
          <w:r w:rsidRPr="00DF7E44">
            <w:rPr>
              <w:rFonts w:ascii="Arial" w:hAnsi="Arial" w:cs="Arial"/>
            </w:rPr>
            <w:t>En nuestro Estado se busca tener un ambiente sano de convivencia y de seguridad, para ello la aplicación de políticas para el mejoramiento, entre ellas se señala la importancia de tener perspectiva de género, acciones que el gobierno actual ha implementado para mejorar en nuestra comunidad, haciendo partícipes a mayor población.</w:t>
          </w:r>
        </w:p>
        <w:p w14:paraId="010ABECD" w14:textId="77777777" w:rsidR="006F5FED" w:rsidRDefault="006F5FED" w:rsidP="006F5FED">
          <w:pPr>
            <w:spacing w:line="360" w:lineRule="auto"/>
            <w:jc w:val="both"/>
            <w:rPr>
              <w:rFonts w:ascii="Arial" w:hAnsi="Arial" w:cs="Arial"/>
            </w:rPr>
          </w:pPr>
          <w:r>
            <w:rPr>
              <w:rFonts w:ascii="Arial" w:hAnsi="Arial" w:cs="Arial"/>
            </w:rPr>
            <w:t>El Gobierno del Estado promoverá fuentes de financiamiento innovadoras, diversificadas y promotoras de crecimiento que contribuyan al logro de los objetivos y prioridades de la presente administración en apego a los principios de responsabilidad hacendaria y las reglas de gestión presupuestaria en un marco de transparencia y rendición de cuentas, pero bajo una nueva visión y cultura ajustados a la realidad que nos dejó la pandemia a nivel nacional, implementando estrategias necesarias para continuar operando y garantizando el buen desarrollo de la gestión institucional, cumpliendo con las medidas implementadas para minimizar los efectos de la pandemia; con el propósito de plantear soluciones a la problemática social y garantizar la gobernabilidad.</w:t>
          </w:r>
        </w:p>
        <w:p w14:paraId="492E4CAF" w14:textId="77777777" w:rsidR="004E2BB3" w:rsidRDefault="004E2BB3" w:rsidP="00830B0F">
          <w:pPr>
            <w:spacing w:line="360" w:lineRule="auto"/>
            <w:jc w:val="right"/>
            <w:rPr>
              <w:rFonts w:ascii="Arial" w:hAnsi="Arial" w:cs="Arial"/>
            </w:rPr>
          </w:pPr>
        </w:p>
        <w:p w14:paraId="6F667ECF" w14:textId="41A8DCD7" w:rsidR="0082751F" w:rsidRDefault="0082751F" w:rsidP="00830B0F">
          <w:pPr>
            <w:spacing w:line="360" w:lineRule="auto"/>
            <w:jc w:val="right"/>
            <w:rPr>
              <w:rFonts w:ascii="Arial" w:hAnsi="Arial" w:cs="Arial"/>
            </w:rPr>
          </w:pPr>
        </w:p>
        <w:p w14:paraId="16E7533C" w14:textId="77777777" w:rsidR="00510429" w:rsidRDefault="00510429" w:rsidP="00830B0F">
          <w:pPr>
            <w:jc w:val="right"/>
            <w:rPr>
              <w:rFonts w:ascii="Arial" w:hAnsi="Arial" w:cs="Arial"/>
            </w:rPr>
          </w:pPr>
        </w:p>
        <w:p w14:paraId="7325041E" w14:textId="1B63553A" w:rsidR="005F78F2" w:rsidRDefault="005F78F2" w:rsidP="00830B0F">
          <w:pPr>
            <w:jc w:val="right"/>
            <w:rPr>
              <w:rFonts w:ascii="Arial" w:hAnsi="Arial" w:cs="Arial"/>
            </w:rPr>
          </w:pPr>
          <w:r>
            <w:rPr>
              <w:rFonts w:ascii="Arial" w:hAnsi="Arial" w:cs="Arial"/>
            </w:rPr>
            <w:br w:type="page"/>
          </w:r>
        </w:p>
        <w:p w14:paraId="13AD9E42" w14:textId="30A4C9A4" w:rsidR="00AB33CD" w:rsidRPr="00AB33CD" w:rsidRDefault="00E642E2" w:rsidP="002C7418">
          <w:pPr>
            <w:pStyle w:val="Ttulo1"/>
          </w:pPr>
          <w:bookmarkStart w:id="6" w:name="_Toc90995805"/>
          <w:r>
            <w:lastRenderedPageBreak/>
            <w:t>Antecedentes</w:t>
          </w:r>
          <w:bookmarkEnd w:id="6"/>
        </w:p>
        <w:p w14:paraId="473780D7" w14:textId="77777777" w:rsidR="00AB33CD" w:rsidRPr="00AB33CD" w:rsidRDefault="00AB33CD" w:rsidP="00830B0F">
          <w:pPr>
            <w:jc w:val="right"/>
          </w:pPr>
        </w:p>
        <w:p w14:paraId="480EEEBC" w14:textId="731D3135" w:rsidR="00AB33CD" w:rsidRPr="00142785" w:rsidRDefault="00AB33CD" w:rsidP="00250B34">
          <w:pPr>
            <w:spacing w:line="360" w:lineRule="auto"/>
            <w:jc w:val="both"/>
            <w:rPr>
              <w:rFonts w:ascii="Arial" w:hAnsi="Arial" w:cs="Arial"/>
            </w:rPr>
          </w:pPr>
          <w:r w:rsidRPr="00142785">
            <w:rPr>
              <w:rFonts w:ascii="Arial" w:hAnsi="Arial" w:cs="Arial"/>
            </w:rPr>
            <w:t>La Cuenta Pública</w:t>
          </w:r>
          <w:r w:rsidR="00E642E2">
            <w:rPr>
              <w:rFonts w:ascii="Arial" w:hAnsi="Arial" w:cs="Arial"/>
            </w:rPr>
            <w:t xml:space="preserve"> 2020</w:t>
          </w:r>
          <w:r w:rsidRPr="00142785">
            <w:rPr>
              <w:rFonts w:ascii="Arial" w:hAnsi="Arial" w:cs="Arial"/>
            </w:rPr>
            <w:t>, considera el entorno económico en el cual se desenvolvieron las finanzas públicas del Estado; el ejercicio presupuestal y la posición financiera de los Poderes Legislativo y Judicial, además de los estados consolidados de las finanzas públicas del sector central y auxiliar del Poder Ejecutivo; su contenido se conforma con información programática y la presentación de anexos, lo que permite un mejor análisis del cumplimiento de las metas establecidas y el uso de los recursos durante el año fiscal. De igual manera, se muestra la aplicación de los fondos de aportaciones y apoyos federales para educación, salud y seguridad pública y el ejercicio presupuestal analítico por dependencia del Poder Ejecutivo, lo que permite una visión global que facilita el trabajo de análisis que le corresponde.</w:t>
          </w:r>
        </w:p>
        <w:p w14:paraId="7FE97CBB" w14:textId="77777777" w:rsidR="00AB33CD" w:rsidRPr="00142785" w:rsidRDefault="00AB33CD" w:rsidP="00250B34">
          <w:pPr>
            <w:spacing w:line="360" w:lineRule="auto"/>
            <w:jc w:val="both"/>
            <w:rPr>
              <w:rFonts w:ascii="Arial" w:hAnsi="Arial" w:cs="Arial"/>
            </w:rPr>
          </w:pPr>
          <w:r w:rsidRPr="00142785">
            <w:rPr>
              <w:rFonts w:ascii="Arial" w:hAnsi="Arial" w:cs="Arial"/>
            </w:rPr>
            <w:t>La formulación de la Cuenta Pública del Gobierno, Organismos Auxiliares y Autónomos del Estado de México, se apegó a las disposiciones de</w:t>
          </w:r>
          <w:r>
            <w:rPr>
              <w:rFonts w:ascii="Arial" w:hAnsi="Arial" w:cs="Arial"/>
            </w:rPr>
            <w:t>l a</w:t>
          </w:r>
          <w:r w:rsidRPr="00142785">
            <w:rPr>
              <w:rFonts w:ascii="Arial" w:hAnsi="Arial" w:cs="Arial"/>
            </w:rPr>
            <w:t>rtículo 61 fracciones XXXII y XXXIII, y 129 de la Constitución Política del Estado Libre y Soberano de México; Artículos 44, 45, 47, 49, 52 y 54 de la Ley General de Contabilidad Gubernamental; Artículos 2, 3, 19 fracción III, 23 y 24 fracciones XXV y XXVI de la Ley Orgánica de la Administración Pública del Estado de México; Artículos 32, 35, 36 y demás relativos de la Ley de Fiscalización Superior del Estado de México; Artículo 14 fracción XII de la Ley para la Coordinación y Control de Organismos Auxiliares y Fideicomisos del Estado de México; y los Artículos 341, 352, 352 Bis, 353, 354, 355 y 356 del Código Financiero del Estado de México y Municipios, así como de la Ley de Disciplina Financiera de las Entidades Federativas y los Municipios.</w:t>
          </w:r>
        </w:p>
        <w:p w14:paraId="3B631B5A" w14:textId="6A60BB7E" w:rsidR="00AB33CD" w:rsidRPr="00142785" w:rsidRDefault="00AB33CD" w:rsidP="00250B34">
          <w:pPr>
            <w:spacing w:line="360" w:lineRule="auto"/>
            <w:jc w:val="both"/>
            <w:rPr>
              <w:rFonts w:ascii="Arial" w:hAnsi="Arial" w:cs="Arial"/>
            </w:rPr>
          </w:pPr>
          <w:r w:rsidRPr="00142785">
            <w:rPr>
              <w:rFonts w:ascii="Arial" w:hAnsi="Arial" w:cs="Arial"/>
            </w:rPr>
            <w:t xml:space="preserve">Los presupuestos correspondientes al ejercicio fiscal del año 2020 están contenidos en los Decretos No. 116 y 119 de fecha 23 de diciembre 2019, el primero contiene la estimación de los ingresos que percibirá la hacienda pública </w:t>
          </w:r>
          <w:r w:rsidR="00CD2053">
            <w:rPr>
              <w:rFonts w:ascii="Arial" w:hAnsi="Arial" w:cs="Arial"/>
            </w:rPr>
            <w:t>es decir contribuciones tales como</w:t>
          </w:r>
          <w:r w:rsidRPr="00142785">
            <w:rPr>
              <w:rFonts w:ascii="Arial" w:hAnsi="Arial" w:cs="Arial"/>
            </w:rPr>
            <w:t>: impuestos, derechos, aportaciones de mejora productos y aprovechamientos, los derivados de la adhesión del Estado al Sistema Nacional de Coordinación Fiscal, así como los ingresos autorizados derivados de operaciones crediticias; y e</w:t>
          </w:r>
          <w:r w:rsidR="00112481">
            <w:rPr>
              <w:rFonts w:ascii="Arial" w:hAnsi="Arial" w:cs="Arial"/>
            </w:rPr>
            <w:t>l segundo, las erogaciones del g</w:t>
          </w:r>
          <w:r w:rsidRPr="00142785">
            <w:rPr>
              <w:rFonts w:ascii="Arial" w:hAnsi="Arial" w:cs="Arial"/>
            </w:rPr>
            <w:t xml:space="preserve">obierno autorizadas para el ejercicio fiscal del año 2020, además de la aplicación de la normatividad para su ejercicio y control </w:t>
          </w:r>
          <w:r w:rsidRPr="00142785">
            <w:rPr>
              <w:rFonts w:ascii="Arial" w:hAnsi="Arial" w:cs="Arial"/>
            </w:rPr>
            <w:lastRenderedPageBreak/>
            <w:t>presupuestario por el Ejecutivo Estatal, y las disposiciones de racionalidad, austeridad y disciplina presupuestal.</w:t>
          </w:r>
        </w:p>
        <w:p w14:paraId="012F146B" w14:textId="267785DD" w:rsidR="00AB33CD" w:rsidRPr="00455FE6" w:rsidRDefault="00AB33CD" w:rsidP="00250B34">
          <w:pPr>
            <w:spacing w:line="360" w:lineRule="auto"/>
            <w:jc w:val="both"/>
            <w:rPr>
              <w:rFonts w:ascii="Arial" w:hAnsi="Arial" w:cs="Arial"/>
              <w:b/>
              <w:bCs/>
            </w:rPr>
          </w:pPr>
          <w:r>
            <w:rPr>
              <w:rFonts w:ascii="Arial" w:hAnsi="Arial" w:cs="Arial"/>
              <w:b/>
              <w:bCs/>
            </w:rPr>
            <w:t xml:space="preserve">CONCEPTO </w:t>
          </w:r>
          <w:r w:rsidRPr="00455FE6">
            <w:rPr>
              <w:rFonts w:ascii="Arial" w:hAnsi="Arial" w:cs="Arial"/>
              <w:b/>
              <w:bCs/>
            </w:rPr>
            <w:t>CUENTA PÚBLICA</w:t>
          </w:r>
          <w:r>
            <w:rPr>
              <w:rFonts w:ascii="Arial" w:hAnsi="Arial" w:cs="Arial"/>
              <w:b/>
              <w:bCs/>
            </w:rPr>
            <w:t xml:space="preserve">. </w:t>
          </w:r>
          <w:r w:rsidRPr="00455FE6">
            <w:rPr>
              <w:rStyle w:val="Refdenotaalpie"/>
              <w:rFonts w:ascii="Arial" w:hAnsi="Arial" w:cs="Arial"/>
              <w:b/>
              <w:bCs/>
            </w:rPr>
            <w:footnoteReference w:id="1"/>
          </w:r>
        </w:p>
        <w:p w14:paraId="062EFF3A" w14:textId="77777777" w:rsidR="00AB33CD" w:rsidRPr="00455FE6" w:rsidRDefault="00AB33CD" w:rsidP="00250B34">
          <w:pPr>
            <w:spacing w:line="360" w:lineRule="auto"/>
            <w:jc w:val="both"/>
            <w:rPr>
              <w:rFonts w:ascii="Arial" w:hAnsi="Arial" w:cs="Arial"/>
            </w:rPr>
          </w:pPr>
          <w:r w:rsidRPr="00455FE6">
            <w:rPr>
              <w:rFonts w:ascii="Arial" w:hAnsi="Arial" w:cs="Arial"/>
            </w:rPr>
            <w:t xml:space="preserve">Documento que informa de dónde obtiene el gobierno estatal el dinero (ingresos), cómo lo administra y para qué lo destina (egresos). </w:t>
          </w:r>
        </w:p>
        <w:p w14:paraId="540209F2" w14:textId="77777777" w:rsidR="00AB33CD" w:rsidRPr="00AB33CD" w:rsidRDefault="00AB33CD" w:rsidP="00250B34">
          <w:pPr>
            <w:pStyle w:val="Ttulo1"/>
            <w:jc w:val="both"/>
          </w:pPr>
          <w:bookmarkStart w:id="7" w:name="_Toc90995806"/>
          <w:r w:rsidRPr="00AB33CD">
            <w:t>LEY DE INGRESOS.</w:t>
          </w:r>
          <w:bookmarkEnd w:id="7"/>
        </w:p>
        <w:p w14:paraId="6D445EE3" w14:textId="420E6E3C" w:rsidR="00AB33CD" w:rsidRDefault="00AB33CD" w:rsidP="00962F92">
          <w:pPr>
            <w:spacing w:line="360" w:lineRule="auto"/>
            <w:jc w:val="both"/>
            <w:rPr>
              <w:rFonts w:ascii="Arial" w:hAnsi="Arial" w:cs="Arial"/>
            </w:rPr>
          </w:pPr>
          <w:r w:rsidRPr="00455FE6">
            <w:rPr>
              <w:rFonts w:ascii="Arial" w:hAnsi="Arial" w:cs="Arial"/>
            </w:rPr>
            <w:t xml:space="preserve">En el ejercicio fiscal correspondiente al año 2020 se recaudaron ingresos por un monto total de </w:t>
          </w:r>
          <w:r w:rsidR="00C91E42">
            <w:rPr>
              <w:rFonts w:ascii="Arial" w:hAnsi="Arial" w:cs="Arial"/>
            </w:rPr>
            <w:t>3</w:t>
          </w:r>
          <w:r w:rsidR="00B91BE4">
            <w:rPr>
              <w:rFonts w:ascii="Arial" w:hAnsi="Arial" w:cs="Arial"/>
            </w:rPr>
            <w:t xml:space="preserve">13 </w:t>
          </w:r>
          <w:r w:rsidRPr="00455FE6">
            <w:rPr>
              <w:rFonts w:ascii="Arial" w:hAnsi="Arial" w:cs="Arial"/>
            </w:rPr>
            <w:t xml:space="preserve">mil </w:t>
          </w:r>
          <w:r w:rsidR="00B91BE4">
            <w:rPr>
              <w:rFonts w:ascii="Arial" w:hAnsi="Arial" w:cs="Arial"/>
            </w:rPr>
            <w:t>330</w:t>
          </w:r>
          <w:r w:rsidRPr="00455FE6">
            <w:rPr>
              <w:rFonts w:ascii="Arial" w:hAnsi="Arial" w:cs="Arial"/>
            </w:rPr>
            <w:t xml:space="preserve"> millones </w:t>
          </w:r>
          <w:r w:rsidR="00B91BE4">
            <w:rPr>
              <w:rFonts w:ascii="Arial" w:hAnsi="Arial" w:cs="Arial"/>
            </w:rPr>
            <w:t>824</w:t>
          </w:r>
          <w:r w:rsidRPr="00455FE6">
            <w:rPr>
              <w:rFonts w:ascii="Arial" w:hAnsi="Arial" w:cs="Arial"/>
            </w:rPr>
            <w:t>mil pesos.</w:t>
          </w:r>
        </w:p>
        <w:p w14:paraId="177422E1" w14:textId="77563ABA" w:rsidR="00337A50" w:rsidRDefault="00337A50" w:rsidP="00857175">
          <w:pPr>
            <w:spacing w:line="360" w:lineRule="auto"/>
            <w:rPr>
              <w:rFonts w:ascii="Arial" w:hAnsi="Arial" w:cs="Arial"/>
            </w:rPr>
          </w:pPr>
          <w:r>
            <w:rPr>
              <w:noProof/>
              <w:lang w:eastAsia="es-MX"/>
            </w:rPr>
            <w:drawing>
              <wp:inline distT="0" distB="0" distL="0" distR="0" wp14:anchorId="4217DB98" wp14:editId="285030F5">
                <wp:extent cx="4371975" cy="1690687"/>
                <wp:effectExtent l="0" t="0" r="9525" b="241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3AA654" w14:textId="0E0BAC61" w:rsidR="00337A50" w:rsidRPr="00455FE6" w:rsidRDefault="00337A50" w:rsidP="00962F92">
          <w:pPr>
            <w:spacing w:line="360" w:lineRule="auto"/>
            <w:rPr>
              <w:rFonts w:ascii="Arial" w:hAnsi="Arial" w:cs="Arial"/>
            </w:rPr>
          </w:pPr>
          <w:r>
            <w:rPr>
              <w:rFonts w:ascii="Arial" w:hAnsi="Arial" w:cs="Arial"/>
            </w:rPr>
            <w:t>En Ingresos tributarios tales como:</w:t>
          </w:r>
        </w:p>
        <w:p w14:paraId="72F92079" w14:textId="12D2D088" w:rsidR="00AB33CD" w:rsidRPr="00455FE6" w:rsidRDefault="00AB33CD" w:rsidP="00962F92">
          <w:pPr>
            <w:spacing w:line="360" w:lineRule="auto"/>
            <w:jc w:val="both"/>
            <w:rPr>
              <w:rFonts w:ascii="Arial" w:hAnsi="Arial" w:cs="Arial"/>
            </w:rPr>
          </w:pPr>
          <w:r w:rsidRPr="00455FE6">
            <w:rPr>
              <w:rFonts w:ascii="Arial" w:hAnsi="Arial" w:cs="Arial"/>
              <w:color w:val="2F5496" w:themeColor="accent1" w:themeShade="BF"/>
            </w:rPr>
            <w:t>Impuestos</w:t>
          </w:r>
          <w:r w:rsidRPr="00455FE6">
            <w:rPr>
              <w:rFonts w:ascii="Arial" w:hAnsi="Arial" w:cs="Arial"/>
            </w:rPr>
            <w:t xml:space="preserve">: se recaudaron </w:t>
          </w:r>
          <w:r w:rsidR="00B91BE4">
            <w:rPr>
              <w:rFonts w:ascii="Arial" w:hAnsi="Arial" w:cs="Arial"/>
            </w:rPr>
            <w:t>20</w:t>
          </w:r>
          <w:r w:rsidRPr="00455FE6">
            <w:rPr>
              <w:rFonts w:ascii="Arial" w:hAnsi="Arial" w:cs="Arial"/>
            </w:rPr>
            <w:t xml:space="preserve"> mil </w:t>
          </w:r>
          <w:r w:rsidR="00B91BE4">
            <w:rPr>
              <w:rFonts w:ascii="Arial" w:hAnsi="Arial" w:cs="Arial"/>
            </w:rPr>
            <w:t>850</w:t>
          </w:r>
          <w:r w:rsidRPr="00455FE6">
            <w:rPr>
              <w:rFonts w:ascii="Arial" w:hAnsi="Arial" w:cs="Arial"/>
            </w:rPr>
            <w:t xml:space="preserve"> millones </w:t>
          </w:r>
          <w:r w:rsidR="00B91BE4">
            <w:rPr>
              <w:rFonts w:ascii="Arial" w:hAnsi="Arial" w:cs="Arial"/>
            </w:rPr>
            <w:t>709</w:t>
          </w:r>
          <w:r w:rsidRPr="00455FE6">
            <w:rPr>
              <w:rFonts w:ascii="Arial" w:hAnsi="Arial" w:cs="Arial"/>
            </w:rPr>
            <w:t xml:space="preserve"> mil pesos. De los ingresos que comprenden este rubro, el 62.2% representa el Impuesto Sobre Erogaciones por Remuneraciones al Trabajo Personal y el Impuesto Sobre Tenencia o Uso de Vehículos el 35.1%, los otros renglones participan con el 2.7% del total.</w:t>
          </w:r>
        </w:p>
        <w:p w14:paraId="5A5FC574" w14:textId="5DF5606C" w:rsidR="00AB33CD" w:rsidRDefault="00C913DF" w:rsidP="007B20D7">
          <w:pPr>
            <w:spacing w:line="360" w:lineRule="auto"/>
            <w:jc w:val="both"/>
            <w:rPr>
              <w:rFonts w:ascii="Arial" w:hAnsi="Arial" w:cs="Arial"/>
            </w:rPr>
          </w:pPr>
          <w:r>
            <w:rPr>
              <w:rFonts w:ascii="Arial" w:hAnsi="Arial" w:cs="Arial"/>
              <w:color w:val="2F5496" w:themeColor="accent1" w:themeShade="BF"/>
            </w:rPr>
            <w:lastRenderedPageBreak/>
            <w:t>Contribución o Aportación de Mejoras p</w:t>
          </w:r>
          <w:r w:rsidRPr="00455FE6">
            <w:rPr>
              <w:rFonts w:ascii="Arial" w:hAnsi="Arial" w:cs="Arial"/>
              <w:color w:val="2F5496" w:themeColor="accent1" w:themeShade="BF"/>
            </w:rPr>
            <w:t>or Obras Públicas</w:t>
          </w:r>
          <w:r w:rsidR="00AB33CD" w:rsidRPr="00455FE6">
            <w:rPr>
              <w:rFonts w:ascii="Arial" w:hAnsi="Arial" w:cs="Arial"/>
            </w:rPr>
            <w:t xml:space="preserve">: se recaudaron 492 millones 405 mil pesos: obras de impacto vial, obras públicas y acciones de beneficio social. </w:t>
          </w:r>
        </w:p>
        <w:p w14:paraId="70E0B0C5" w14:textId="101B99C2" w:rsidR="00337A50" w:rsidRPr="00455FE6" w:rsidRDefault="00337A50" w:rsidP="007B20D7">
          <w:pPr>
            <w:spacing w:line="360" w:lineRule="auto"/>
            <w:rPr>
              <w:rFonts w:ascii="Arial" w:hAnsi="Arial" w:cs="Arial"/>
            </w:rPr>
          </w:pPr>
          <w:r>
            <w:rPr>
              <w:rFonts w:ascii="Arial" w:hAnsi="Arial" w:cs="Arial"/>
            </w:rPr>
            <w:t xml:space="preserve">Ingresos no Tributarios </w:t>
          </w:r>
        </w:p>
        <w:p w14:paraId="2726EAF4" w14:textId="74BEF747" w:rsidR="00AB33CD" w:rsidRPr="00455FE6" w:rsidRDefault="00AB33CD" w:rsidP="007B20D7">
          <w:pPr>
            <w:spacing w:line="360" w:lineRule="auto"/>
            <w:jc w:val="both"/>
            <w:rPr>
              <w:rFonts w:ascii="Arial" w:hAnsi="Arial" w:cs="Arial"/>
            </w:rPr>
          </w:pPr>
          <w:r w:rsidRPr="00455FE6">
            <w:rPr>
              <w:rFonts w:ascii="Arial" w:hAnsi="Arial" w:cs="Arial"/>
              <w:color w:val="2F5496" w:themeColor="accent1" w:themeShade="BF"/>
            </w:rPr>
            <w:t>Derechos</w:t>
          </w:r>
          <w:r w:rsidR="00C913DF">
            <w:rPr>
              <w:rFonts w:ascii="Arial" w:hAnsi="Arial" w:cs="Arial"/>
            </w:rPr>
            <w:t>:</w:t>
          </w:r>
          <w:r w:rsidRPr="00455FE6">
            <w:rPr>
              <w:rFonts w:ascii="Arial" w:hAnsi="Arial" w:cs="Arial"/>
            </w:rPr>
            <w:t xml:space="preserve"> se recaudó un total de 9 mil 541 millones 071 mil pesos. De este concepto de ingresos, los derechos recaudados por la Secretaría de Finanzas representan el 47.8%, los de la S</w:t>
          </w:r>
          <w:r w:rsidR="00B91BE4">
            <w:rPr>
              <w:rFonts w:ascii="Arial" w:hAnsi="Arial" w:cs="Arial"/>
            </w:rPr>
            <w:t>ecretaría de Obra Pública el 14</w:t>
          </w:r>
          <w:r w:rsidR="00E04171">
            <w:rPr>
              <w:rFonts w:ascii="Arial" w:hAnsi="Arial" w:cs="Arial"/>
            </w:rPr>
            <w:t>%</w:t>
          </w:r>
          <w:r w:rsidRPr="00455FE6">
            <w:rPr>
              <w:rFonts w:ascii="Arial" w:hAnsi="Arial" w:cs="Arial"/>
            </w:rPr>
            <w:t>, los de la Secretaría de Justicia y Derechos Humanos con el 14.8% y las demás Secretarías el 22.5% del total.</w:t>
          </w:r>
        </w:p>
        <w:p w14:paraId="1B105721" w14:textId="70D01209" w:rsidR="00AB33CD" w:rsidRPr="00455FE6" w:rsidRDefault="00C913DF" w:rsidP="007B20D7">
          <w:pPr>
            <w:spacing w:line="360" w:lineRule="auto"/>
            <w:jc w:val="both"/>
            <w:rPr>
              <w:rFonts w:ascii="Arial" w:hAnsi="Arial" w:cs="Arial"/>
            </w:rPr>
          </w:pPr>
          <w:r>
            <w:rPr>
              <w:rFonts w:ascii="Arial" w:hAnsi="Arial" w:cs="Arial"/>
              <w:color w:val="2F5496" w:themeColor="accent1" w:themeShade="BF"/>
            </w:rPr>
            <w:t>Aportaciones y Cuotas de Seguridad S</w:t>
          </w:r>
          <w:r w:rsidR="00AB33CD" w:rsidRPr="00455FE6">
            <w:rPr>
              <w:rFonts w:ascii="Arial" w:hAnsi="Arial" w:cs="Arial"/>
              <w:color w:val="2F5496" w:themeColor="accent1" w:themeShade="BF"/>
            </w:rPr>
            <w:t>ocial</w:t>
          </w:r>
          <w:r>
            <w:rPr>
              <w:rFonts w:ascii="Arial" w:hAnsi="Arial" w:cs="Arial"/>
            </w:rPr>
            <w:t>:</w:t>
          </w:r>
          <w:r w:rsidR="00AB33CD" w:rsidRPr="00455FE6">
            <w:rPr>
              <w:rFonts w:ascii="Arial" w:hAnsi="Arial" w:cs="Arial"/>
            </w:rPr>
            <w:t xml:space="preserve"> presentan un monto de 24 mil 014 millones 043 mil pesos, estos ingresos corresponden al Instituto de Seguridad Social del Estado de México y Municipios.</w:t>
          </w:r>
        </w:p>
        <w:p w14:paraId="5CEB4136" w14:textId="64893362" w:rsidR="00AB33CD" w:rsidRPr="00455FE6" w:rsidRDefault="00C913DF" w:rsidP="007019E0">
          <w:pPr>
            <w:spacing w:line="360" w:lineRule="auto"/>
            <w:rPr>
              <w:rFonts w:ascii="Arial" w:hAnsi="Arial" w:cs="Arial"/>
            </w:rPr>
          </w:pPr>
          <w:r>
            <w:rPr>
              <w:rFonts w:ascii="Arial" w:hAnsi="Arial" w:cs="Arial"/>
              <w:color w:val="2F5496" w:themeColor="accent1" w:themeShade="BF"/>
            </w:rPr>
            <w:t xml:space="preserve">Productos: </w:t>
          </w:r>
          <w:r w:rsidR="00AB33CD" w:rsidRPr="00455FE6">
            <w:rPr>
              <w:rFonts w:ascii="Arial" w:hAnsi="Arial" w:cs="Arial"/>
            </w:rPr>
            <w:t xml:space="preserve">presentan una recaudación de 743 millones 172 mil pesos. </w:t>
          </w:r>
        </w:p>
        <w:p w14:paraId="4831A59C" w14:textId="6B4BFC46" w:rsidR="00AB33CD" w:rsidRPr="00455FE6" w:rsidRDefault="00C913DF" w:rsidP="007019E0">
          <w:pPr>
            <w:spacing w:line="360" w:lineRule="auto"/>
            <w:rPr>
              <w:rFonts w:ascii="Arial" w:hAnsi="Arial" w:cs="Arial"/>
            </w:rPr>
          </w:pPr>
          <w:r>
            <w:rPr>
              <w:rFonts w:ascii="Arial" w:hAnsi="Arial" w:cs="Arial"/>
              <w:color w:val="2F5496" w:themeColor="accent1" w:themeShade="BF"/>
            </w:rPr>
            <w:t>A</w:t>
          </w:r>
          <w:r w:rsidR="00AB33CD" w:rsidRPr="00455FE6">
            <w:rPr>
              <w:rFonts w:ascii="Arial" w:hAnsi="Arial" w:cs="Arial"/>
              <w:color w:val="2F5496" w:themeColor="accent1" w:themeShade="BF"/>
            </w:rPr>
            <w:t>provechamientos</w:t>
          </w:r>
          <w:r w:rsidR="00AB33CD" w:rsidRPr="00455FE6">
            <w:rPr>
              <w:rFonts w:ascii="Arial" w:hAnsi="Arial" w:cs="Arial"/>
            </w:rPr>
            <w:t>, se recaudó un total de 2 mil 460 millones 735 mil pesos.</w:t>
          </w:r>
        </w:p>
        <w:p w14:paraId="33AB2837" w14:textId="77777777" w:rsidR="00AB33CD" w:rsidRDefault="00AB33CD" w:rsidP="007019E0">
          <w:pPr>
            <w:spacing w:line="360" w:lineRule="auto"/>
            <w:jc w:val="both"/>
            <w:rPr>
              <w:rFonts w:ascii="Arial" w:hAnsi="Arial" w:cs="Arial"/>
            </w:rPr>
          </w:pPr>
          <w:r w:rsidRPr="00455FE6">
            <w:rPr>
              <w:rFonts w:ascii="Arial" w:hAnsi="Arial" w:cs="Arial"/>
            </w:rPr>
            <w:t xml:space="preserve">Los </w:t>
          </w:r>
          <w:r w:rsidRPr="00455FE6">
            <w:rPr>
              <w:rFonts w:ascii="Arial" w:hAnsi="Arial" w:cs="Arial"/>
              <w:color w:val="2F5496" w:themeColor="accent1" w:themeShade="BF"/>
            </w:rPr>
            <w:t xml:space="preserve">ingresos propios de Organismos Descentralizados, Autónomos y Poderes </w:t>
          </w:r>
          <w:r w:rsidRPr="00455FE6">
            <w:rPr>
              <w:rFonts w:ascii="Arial" w:hAnsi="Arial" w:cs="Arial"/>
            </w:rPr>
            <w:t>ascienden a un monto de 11 mil 036 millones 336 mil pesos. En su integración los Organismos Descentralizados representan el 38.1% del total recaudado y los Organismos Autónomos y los Poderes participan con el 9.3% respectivamente.</w:t>
          </w:r>
        </w:p>
        <w:tbl>
          <w:tblPr>
            <w:tblW w:w="8946" w:type="dxa"/>
            <w:tblInd w:w="55" w:type="dxa"/>
            <w:tblCellMar>
              <w:left w:w="70" w:type="dxa"/>
              <w:right w:w="70" w:type="dxa"/>
            </w:tblCellMar>
            <w:tblLook w:val="04A0" w:firstRow="1" w:lastRow="0" w:firstColumn="1" w:lastColumn="0" w:noHBand="0" w:noVBand="1"/>
          </w:tblPr>
          <w:tblGrid>
            <w:gridCol w:w="8946"/>
          </w:tblGrid>
          <w:tr w:rsidR="00337A50" w:rsidRPr="00337A50" w14:paraId="363BF230" w14:textId="77777777" w:rsidTr="00337A50">
            <w:trPr>
              <w:trHeight w:val="300"/>
            </w:trPr>
            <w:tc>
              <w:tcPr>
                <w:tcW w:w="8946" w:type="dxa"/>
                <w:tcBorders>
                  <w:top w:val="nil"/>
                  <w:left w:val="nil"/>
                  <w:bottom w:val="nil"/>
                  <w:right w:val="nil"/>
                </w:tcBorders>
                <w:shd w:val="clear" w:color="auto" w:fill="auto"/>
                <w:noWrap/>
                <w:vAlign w:val="bottom"/>
                <w:hideMark/>
              </w:tcPr>
              <w:p w14:paraId="3E38C690" w14:textId="33A0D13E" w:rsidR="00337A50" w:rsidRDefault="00337A50" w:rsidP="001230BA">
                <w:pPr>
                  <w:spacing w:after="0" w:line="240" w:lineRule="auto"/>
                  <w:jc w:val="both"/>
                  <w:rPr>
                    <w:rFonts w:ascii="Calibri" w:eastAsia="Times New Roman" w:hAnsi="Calibri" w:cs="Times New Roman"/>
                    <w:color w:val="000000"/>
                    <w:sz w:val="22"/>
                    <w:szCs w:val="22"/>
                    <w:lang w:eastAsia="es-MX"/>
                  </w:rPr>
                </w:pPr>
                <w:r w:rsidRPr="00337A50">
                  <w:rPr>
                    <w:rFonts w:ascii="Arial" w:hAnsi="Arial" w:cs="Arial"/>
                    <w:color w:val="2F5496" w:themeColor="accent1" w:themeShade="BF"/>
                  </w:rPr>
                  <w:t xml:space="preserve">Ingresos federales </w:t>
                </w:r>
                <w:r>
                  <w:rPr>
                    <w:rFonts w:ascii="Arial" w:hAnsi="Arial" w:cs="Arial"/>
                  </w:rPr>
                  <w:t>de los que se obtuvieron 218 mil</w:t>
                </w:r>
                <w:r w:rsidR="00455CA9">
                  <w:rPr>
                    <w:rFonts w:ascii="Arial" w:hAnsi="Arial" w:cs="Arial"/>
                  </w:rPr>
                  <w:t xml:space="preserve"> </w:t>
                </w:r>
                <w:r>
                  <w:rPr>
                    <w:rFonts w:ascii="Arial" w:hAnsi="Arial" w:cs="Arial"/>
                  </w:rPr>
                  <w:t>660 millones 767 miles</w:t>
                </w:r>
                <w:r w:rsidR="00CA06AA">
                  <w:rPr>
                    <w:rFonts w:ascii="Arial" w:hAnsi="Arial" w:cs="Arial"/>
                  </w:rPr>
                  <w:t xml:space="preserve"> de pesos</w:t>
                </w:r>
                <w:r w:rsidR="00073D35">
                  <w:rPr>
                    <w:rFonts w:ascii="Arial" w:hAnsi="Arial" w:cs="Arial"/>
                  </w:rPr>
                  <w:t xml:space="preserve"> donde a las participaciones</w:t>
                </w:r>
                <w:r w:rsidR="00073D35">
                  <w:rPr>
                    <w:rFonts w:ascii="Calibri" w:eastAsia="Times New Roman" w:hAnsi="Calibri" w:cs="Times New Roman"/>
                    <w:color w:val="000000"/>
                    <w:sz w:val="22"/>
                    <w:szCs w:val="22"/>
                    <w:lang w:eastAsia="es-MX"/>
                  </w:rPr>
                  <w:t xml:space="preserve"> </w:t>
                </w:r>
                <w:r w:rsidRPr="00337A50">
                  <w:rPr>
                    <w:rFonts w:ascii="Calibri" w:eastAsia="Times New Roman" w:hAnsi="Calibri" w:cs="Times New Roman"/>
                    <w:color w:val="000000"/>
                    <w:sz w:val="22"/>
                    <w:szCs w:val="22"/>
                    <w:lang w:eastAsia="es-MX"/>
                  </w:rPr>
                  <w:t>Federales</w:t>
                </w:r>
                <w:r>
                  <w:rPr>
                    <w:rFonts w:ascii="Calibri" w:eastAsia="Times New Roman" w:hAnsi="Calibri" w:cs="Times New Roman"/>
                    <w:color w:val="000000"/>
                    <w:sz w:val="22"/>
                    <w:szCs w:val="22"/>
                    <w:lang w:eastAsia="es-MX"/>
                  </w:rPr>
                  <w:t xml:space="preserve"> se les otorgo el 50% de dicho presupuesto, a los </w:t>
                </w:r>
                <w:r w:rsidRPr="00337A50">
                  <w:rPr>
                    <w:rFonts w:ascii="Calibri" w:eastAsia="Times New Roman" w:hAnsi="Calibri" w:cs="Times New Roman"/>
                    <w:color w:val="000000"/>
                    <w:sz w:val="22"/>
                    <w:szCs w:val="22"/>
                    <w:lang w:eastAsia="es-MX"/>
                  </w:rPr>
                  <w:t>Fondos de Aportaciones Ramo 33</w:t>
                </w:r>
                <w:r>
                  <w:rPr>
                    <w:rFonts w:ascii="Calibri" w:eastAsia="Times New Roman" w:hAnsi="Calibri" w:cs="Times New Roman"/>
                    <w:color w:val="000000"/>
                    <w:sz w:val="22"/>
                    <w:szCs w:val="22"/>
                    <w:lang w:eastAsia="es-MX"/>
                  </w:rPr>
                  <w:t xml:space="preserve">, el 36 de los recursos otorgados por la federación. </w:t>
                </w:r>
              </w:p>
              <w:p w14:paraId="74E953AC" w14:textId="1AAAE785" w:rsidR="00337A50" w:rsidRPr="00337A50" w:rsidRDefault="00337A50" w:rsidP="001230BA">
                <w:pPr>
                  <w:spacing w:after="0" w:line="240" w:lineRule="auto"/>
                  <w:jc w:val="both"/>
                  <w:rPr>
                    <w:rFonts w:ascii="Calibri" w:eastAsia="Times New Roman" w:hAnsi="Calibri" w:cs="Times New Roman"/>
                    <w:color w:val="000000"/>
                    <w:sz w:val="22"/>
                    <w:szCs w:val="22"/>
                    <w:lang w:eastAsia="es-MX"/>
                  </w:rPr>
                </w:pPr>
              </w:p>
            </w:tc>
          </w:tr>
          <w:tr w:rsidR="00337A50" w:rsidRPr="00337A50" w14:paraId="10BB83FB" w14:textId="77777777" w:rsidTr="00337A50">
            <w:trPr>
              <w:trHeight w:val="300"/>
            </w:trPr>
            <w:tc>
              <w:tcPr>
                <w:tcW w:w="8946" w:type="dxa"/>
                <w:tcBorders>
                  <w:top w:val="nil"/>
                  <w:left w:val="nil"/>
                  <w:bottom w:val="nil"/>
                  <w:right w:val="nil"/>
                </w:tcBorders>
                <w:shd w:val="clear" w:color="auto" w:fill="auto"/>
                <w:noWrap/>
                <w:vAlign w:val="bottom"/>
              </w:tcPr>
              <w:p w14:paraId="2DA67032" w14:textId="5442F4A8" w:rsidR="00337A50" w:rsidRPr="00255DF7" w:rsidRDefault="00337A50" w:rsidP="001230BA">
                <w:pPr>
                  <w:spacing w:after="0" w:line="240" w:lineRule="auto"/>
                  <w:jc w:val="both"/>
                  <w:rPr>
                    <w:rFonts w:ascii="Calibri" w:eastAsia="Times New Roman" w:hAnsi="Calibri" w:cs="Times New Roman"/>
                    <w:color w:val="000000"/>
                    <w:sz w:val="22"/>
                    <w:szCs w:val="22"/>
                    <w:lang w:eastAsia="es-MX"/>
                  </w:rPr>
                </w:pPr>
                <w:r>
                  <w:rPr>
                    <w:rFonts w:ascii="Calibri" w:eastAsia="Times New Roman" w:hAnsi="Calibri" w:cs="Times New Roman"/>
                    <w:color w:val="000000"/>
                    <w:sz w:val="22"/>
                    <w:szCs w:val="22"/>
                    <w:lang w:eastAsia="es-MX"/>
                  </w:rPr>
                  <w:t xml:space="preserve">Y a los recursos extraordinarios </w:t>
                </w:r>
                <w:r w:rsidR="00F56A98">
                  <w:rPr>
                    <w:rFonts w:ascii="Calibri" w:eastAsia="Times New Roman" w:hAnsi="Calibri" w:cs="Times New Roman"/>
                    <w:color w:val="000000"/>
                    <w:sz w:val="22"/>
                    <w:szCs w:val="22"/>
                    <w:lang w:eastAsia="es-MX"/>
                  </w:rPr>
                  <w:t>a</w:t>
                </w:r>
                <w:r w:rsidRPr="00255DF7">
                  <w:rPr>
                    <w:rFonts w:ascii="Calibri" w:eastAsia="Times New Roman" w:hAnsi="Calibri" w:cs="Times New Roman"/>
                    <w:color w:val="000000"/>
                    <w:sz w:val="22"/>
                    <w:szCs w:val="22"/>
                    <w:lang w:eastAsia="es-MX"/>
                  </w:rPr>
                  <w:t>l mes de diciembre de 2020 la disposición de la deuda pública fue por 21 mil 203 millones 997 miles de pesos.</w:t>
                </w:r>
              </w:p>
              <w:p w14:paraId="3D31B943" w14:textId="77777777" w:rsidR="00255DF7" w:rsidRPr="00255DF7" w:rsidRDefault="00255DF7" w:rsidP="001230BA">
                <w:pPr>
                  <w:spacing w:after="0" w:line="240" w:lineRule="auto"/>
                  <w:jc w:val="both"/>
                  <w:rPr>
                    <w:rFonts w:ascii="Calibri" w:eastAsia="Times New Roman" w:hAnsi="Calibri" w:cs="Times New Roman"/>
                    <w:color w:val="000000"/>
                    <w:sz w:val="22"/>
                    <w:szCs w:val="22"/>
                    <w:lang w:eastAsia="es-MX"/>
                  </w:rPr>
                </w:pPr>
              </w:p>
              <w:p w14:paraId="379D1895" w14:textId="77777777" w:rsidR="00255DF7" w:rsidRPr="00255DF7" w:rsidRDefault="00255DF7" w:rsidP="001230BA">
                <w:pPr>
                  <w:spacing w:after="0" w:line="240" w:lineRule="auto"/>
                  <w:jc w:val="both"/>
                  <w:rPr>
                    <w:rFonts w:ascii="Calibri" w:eastAsia="Times New Roman" w:hAnsi="Calibri" w:cs="Times New Roman"/>
                    <w:color w:val="000000"/>
                    <w:sz w:val="22"/>
                    <w:szCs w:val="22"/>
                    <w:lang w:eastAsia="es-MX"/>
                  </w:rPr>
                </w:pPr>
              </w:p>
              <w:p w14:paraId="20C4CC6B" w14:textId="38E2F8DE" w:rsidR="00255DF7" w:rsidRDefault="00255DF7" w:rsidP="001230BA">
                <w:pPr>
                  <w:spacing w:after="0" w:line="240" w:lineRule="auto"/>
                  <w:jc w:val="both"/>
                  <w:rPr>
                    <w:rFonts w:ascii="Calibri" w:eastAsia="Times New Roman" w:hAnsi="Calibri" w:cs="Times New Roman"/>
                    <w:color w:val="000000"/>
                    <w:sz w:val="22"/>
                    <w:szCs w:val="22"/>
                    <w:lang w:eastAsia="es-MX"/>
                  </w:rPr>
                </w:pPr>
                <w:r w:rsidRPr="00255DF7">
                  <w:rPr>
                    <w:rFonts w:ascii="Calibri" w:eastAsia="Times New Roman" w:hAnsi="Calibri" w:cs="Times New Roman"/>
                    <w:noProof/>
                    <w:color w:val="000000"/>
                    <w:sz w:val="22"/>
                    <w:szCs w:val="22"/>
                    <w:lang w:eastAsia="es-MX"/>
                  </w:rPr>
                  <w:lastRenderedPageBreak/>
                  <w:drawing>
                    <wp:inline distT="0" distB="0" distL="0" distR="0" wp14:anchorId="767227E0" wp14:editId="1470A44E">
                      <wp:extent cx="4374696" cy="3209925"/>
                      <wp:effectExtent l="0" t="0" r="2603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A04607" w14:textId="77777777" w:rsidR="00255DF7" w:rsidRDefault="00255DF7" w:rsidP="001230BA">
                <w:pPr>
                  <w:spacing w:after="0" w:line="240" w:lineRule="auto"/>
                  <w:jc w:val="both"/>
                  <w:rPr>
                    <w:rFonts w:ascii="Calibri" w:eastAsia="Times New Roman" w:hAnsi="Calibri" w:cs="Times New Roman"/>
                    <w:color w:val="000000"/>
                    <w:sz w:val="22"/>
                    <w:szCs w:val="22"/>
                    <w:lang w:eastAsia="es-MX"/>
                  </w:rPr>
                </w:pPr>
              </w:p>
              <w:p w14:paraId="739AEA42" w14:textId="77777777" w:rsidR="00255DF7" w:rsidRDefault="00255DF7" w:rsidP="001230BA">
                <w:pPr>
                  <w:spacing w:line="276" w:lineRule="auto"/>
                  <w:jc w:val="both"/>
                  <w:rPr>
                    <w:rFonts w:ascii="Arial" w:hAnsi="Arial" w:cs="Arial"/>
                  </w:rPr>
                </w:pPr>
                <w:r>
                  <w:rPr>
                    <w:rFonts w:ascii="Arial" w:hAnsi="Arial" w:cs="Arial"/>
                  </w:rPr>
                  <w:t>Elaboración Propia con datos de transparencia Fiscal. Cuenta Pública Ciudadana 2020.</w:t>
                </w:r>
              </w:p>
              <w:p w14:paraId="7BAB3EF3" w14:textId="77777777" w:rsidR="00255DF7" w:rsidRPr="00255DF7" w:rsidRDefault="00255DF7" w:rsidP="001230BA">
                <w:pPr>
                  <w:spacing w:after="0" w:line="240" w:lineRule="auto"/>
                  <w:jc w:val="both"/>
                  <w:rPr>
                    <w:rFonts w:ascii="Calibri" w:eastAsia="Times New Roman" w:hAnsi="Calibri" w:cs="Times New Roman"/>
                    <w:color w:val="000000"/>
                    <w:sz w:val="22"/>
                    <w:szCs w:val="22"/>
                    <w:lang w:eastAsia="es-MX"/>
                  </w:rPr>
                </w:pPr>
              </w:p>
              <w:p w14:paraId="3CDF370E" w14:textId="77777777" w:rsidR="00337A50" w:rsidRPr="00255DF7" w:rsidRDefault="00337A50" w:rsidP="001230BA">
                <w:pPr>
                  <w:spacing w:after="0" w:line="240" w:lineRule="auto"/>
                  <w:jc w:val="both"/>
                  <w:rPr>
                    <w:rFonts w:ascii="Calibri" w:eastAsia="Times New Roman" w:hAnsi="Calibri" w:cs="Times New Roman"/>
                    <w:color w:val="000000"/>
                    <w:sz w:val="22"/>
                    <w:szCs w:val="22"/>
                    <w:lang w:eastAsia="es-MX"/>
                  </w:rPr>
                </w:pPr>
              </w:p>
              <w:p w14:paraId="1528C23E" w14:textId="03FF842F" w:rsidR="007C3AF3" w:rsidRPr="00255DF7" w:rsidRDefault="00337A50" w:rsidP="001230BA">
                <w:pPr>
                  <w:spacing w:after="0" w:line="240" w:lineRule="auto"/>
                  <w:jc w:val="both"/>
                  <w:rPr>
                    <w:rFonts w:ascii="Calibri" w:eastAsia="Times New Roman" w:hAnsi="Calibri" w:cs="Times New Roman"/>
                    <w:color w:val="000000"/>
                    <w:sz w:val="22"/>
                    <w:szCs w:val="22"/>
                    <w:lang w:eastAsia="es-MX"/>
                  </w:rPr>
                </w:pPr>
                <w:r w:rsidRPr="00255DF7">
                  <w:rPr>
                    <w:rFonts w:ascii="Calibri" w:eastAsia="Times New Roman" w:hAnsi="Calibri" w:cs="Times New Roman"/>
                    <w:color w:val="000000"/>
                    <w:sz w:val="22"/>
                    <w:szCs w:val="22"/>
                    <w:lang w:eastAsia="es-MX"/>
                  </w:rPr>
                  <w:t xml:space="preserve">Tal como lo muestra la gráfica donde se puede observar claramente la dependencia del gobierno del Estado de los Recurso Federales </w:t>
                </w:r>
                <w:r w:rsidR="00073D35">
                  <w:rPr>
                    <w:rFonts w:ascii="Calibri" w:eastAsia="Times New Roman" w:hAnsi="Calibri" w:cs="Times New Roman"/>
                    <w:color w:val="000000"/>
                    <w:sz w:val="22"/>
                    <w:szCs w:val="22"/>
                    <w:lang w:eastAsia="es-MX"/>
                  </w:rPr>
                  <w:t xml:space="preserve">ya </w:t>
                </w:r>
                <w:r w:rsidR="007C3AF3" w:rsidRPr="00255DF7">
                  <w:rPr>
                    <w:rFonts w:ascii="Calibri" w:eastAsia="Times New Roman" w:hAnsi="Calibri" w:cs="Times New Roman"/>
                    <w:color w:val="000000"/>
                    <w:sz w:val="22"/>
                    <w:szCs w:val="22"/>
                    <w:lang w:eastAsia="es-MX"/>
                  </w:rPr>
                  <w:t>que el 84% del Ingreso del el Estado en 2020, corresponde a los provenientes de la federación es decir $218,660,767 millones de pesos están etiquetados para programas preestablecidos, el 8% del Ingreso proviene de endeudamiento del Estado a quien se le autorizo llevar a cabo la contratación de financiamientos por un endeudamiento neto hasta por un monto de $6,000,000,000 (Seis mil millones de pesos 00/100 M. N.), siempre y cuando no rebase el techo de financiamiento establecido en el Artículo 46 de la Ley de Disciplina Financiera de las Entidades Federativas y los Municipios, con un plazo de financiamiento hasta de 25 años, el cual será destinado exclusivamente a inversión pública productiva en términos d</w:t>
                </w:r>
                <w:r w:rsidR="006917DF">
                  <w:rPr>
                    <w:rFonts w:ascii="Calibri" w:eastAsia="Times New Roman" w:hAnsi="Calibri" w:cs="Times New Roman"/>
                    <w:color w:val="000000"/>
                    <w:sz w:val="22"/>
                    <w:szCs w:val="22"/>
                    <w:lang w:eastAsia="es-MX"/>
                  </w:rPr>
                  <w:t>e la Ley de Disciplina</w:t>
                </w:r>
                <w:r w:rsidR="006917DF" w:rsidRPr="00255DF7">
                  <w:rPr>
                    <w:rFonts w:ascii="Calibri" w:eastAsia="Times New Roman" w:hAnsi="Calibri" w:cs="Times New Roman"/>
                    <w:color w:val="000000"/>
                    <w:sz w:val="22"/>
                    <w:szCs w:val="22"/>
                    <w:lang w:eastAsia="es-MX"/>
                  </w:rPr>
                  <w:t xml:space="preserve"> Financiera de las Entidades Federativas y los Municipios</w:t>
                </w:r>
              </w:p>
              <w:p w14:paraId="3DDE359C" w14:textId="224152EC" w:rsidR="00337A50" w:rsidRPr="00337A50" w:rsidRDefault="007C3AF3" w:rsidP="001230BA">
                <w:pPr>
                  <w:spacing w:after="0" w:line="240" w:lineRule="auto"/>
                  <w:jc w:val="both"/>
                  <w:rPr>
                    <w:rFonts w:ascii="Calibri" w:eastAsia="Times New Roman" w:hAnsi="Calibri" w:cs="Times New Roman"/>
                    <w:color w:val="000000"/>
                    <w:sz w:val="22"/>
                    <w:szCs w:val="22"/>
                    <w:lang w:eastAsia="es-MX"/>
                  </w:rPr>
                </w:pPr>
                <w:r w:rsidRPr="00255DF7">
                  <w:rPr>
                    <w:rFonts w:ascii="Calibri" w:eastAsia="Times New Roman" w:hAnsi="Calibri" w:cs="Times New Roman"/>
                    <w:color w:val="000000"/>
                    <w:sz w:val="22"/>
                    <w:szCs w:val="22"/>
                    <w:lang w:eastAsia="es-MX"/>
                  </w:rPr>
                  <w:t xml:space="preserve"> </w:t>
                </w:r>
              </w:p>
            </w:tc>
          </w:tr>
        </w:tbl>
        <w:p w14:paraId="6989FF05" w14:textId="7C1FA6DF" w:rsidR="00E66FDB" w:rsidRDefault="007C3AF3" w:rsidP="006917DF">
          <w:pPr>
            <w:spacing w:line="276" w:lineRule="auto"/>
            <w:jc w:val="both"/>
            <w:rPr>
              <w:noProof/>
            </w:rPr>
          </w:pPr>
          <w:r w:rsidRPr="00255DF7">
            <w:rPr>
              <w:rFonts w:ascii="Calibri" w:eastAsia="Times New Roman" w:hAnsi="Calibri" w:cs="Times New Roman"/>
              <w:color w:val="000000"/>
              <w:sz w:val="22"/>
              <w:szCs w:val="22"/>
              <w:lang w:eastAsia="es-MX"/>
            </w:rPr>
            <w:lastRenderedPageBreak/>
            <w:t>En dichos terminos el Estado tiene un endeudamiento sostenible ya que obtuvo de deuda el el 2.37% , en relación a sus Ingres</w:t>
          </w:r>
          <w:r w:rsidR="00255DF7" w:rsidRPr="00255DF7">
            <w:rPr>
              <w:rFonts w:ascii="Calibri" w:eastAsia="Times New Roman" w:hAnsi="Calibri" w:cs="Times New Roman"/>
              <w:color w:val="000000"/>
              <w:sz w:val="22"/>
              <w:szCs w:val="22"/>
              <w:lang w:eastAsia="es-MX"/>
            </w:rPr>
            <w:t>os Tributarios que son los de libre disposicion que hacienden a la cantidad de $20,850,709 mil pesos</w:t>
          </w:r>
          <w:r w:rsidR="00255DF7">
            <w:rPr>
              <w:noProof/>
            </w:rPr>
            <w:t>.</w:t>
          </w:r>
        </w:p>
        <w:p w14:paraId="3004E73B" w14:textId="77777777" w:rsidR="00255DF7" w:rsidRDefault="00255DF7" w:rsidP="00830B0F">
          <w:pPr>
            <w:spacing w:line="276" w:lineRule="auto"/>
            <w:jc w:val="right"/>
            <w:rPr>
              <w:noProof/>
            </w:rPr>
          </w:pPr>
        </w:p>
        <w:p w14:paraId="2984A2E9" w14:textId="77777777" w:rsidR="00B91BE4" w:rsidRDefault="00B91BE4" w:rsidP="00830B0F">
          <w:pPr>
            <w:spacing w:line="276" w:lineRule="auto"/>
            <w:jc w:val="right"/>
            <w:rPr>
              <w:rFonts w:ascii="Arial" w:hAnsi="Arial" w:cs="Arial"/>
            </w:rPr>
          </w:pPr>
        </w:p>
        <w:p w14:paraId="071793BB" w14:textId="741CC3BF" w:rsidR="004C2621" w:rsidRPr="004C2621" w:rsidRDefault="004C2621" w:rsidP="00492A13">
          <w:pPr>
            <w:pStyle w:val="Ttulo1"/>
          </w:pPr>
          <w:bookmarkStart w:id="8" w:name="_Toc90995807"/>
          <w:r w:rsidRPr="004C2621">
            <w:t>PRESUPUESTO DE EGRESOS.</w:t>
          </w:r>
          <w:bookmarkEnd w:id="8"/>
        </w:p>
        <w:p w14:paraId="2CF0D097" w14:textId="07F7BF58" w:rsidR="004C2621" w:rsidRPr="00140940" w:rsidRDefault="004C2621" w:rsidP="00492A13">
          <w:pPr>
            <w:spacing w:line="360" w:lineRule="auto"/>
            <w:jc w:val="both"/>
            <w:rPr>
              <w:rFonts w:ascii="Arial" w:hAnsi="Arial" w:cs="Arial"/>
            </w:rPr>
          </w:pPr>
          <w:r>
            <w:rPr>
              <w:rFonts w:ascii="Arial" w:hAnsi="Arial" w:cs="Arial"/>
            </w:rPr>
            <w:t>Para cumplir con los objetivos y metas del Plan de Desarrollo del Estado de México, los recursos se distribuyeron en cuatro pilares: social, económico, territorial y seguridad, así como ejes transversales: igualdad de género, gobierno capaz y responsable, y conectividad y tecnología para el buen gobierno.</w:t>
          </w:r>
          <w:r w:rsidR="00AD35BD">
            <w:rPr>
              <w:rFonts w:ascii="Arial" w:hAnsi="Arial" w:cs="Arial"/>
            </w:rPr>
            <w:t xml:space="preserve"> </w:t>
          </w:r>
          <w:r>
            <w:rPr>
              <w:rFonts w:ascii="Arial" w:hAnsi="Arial" w:cs="Arial"/>
            </w:rPr>
            <w:t xml:space="preserve">En 2020, se ejercieron 309 mil 718 mdp distribuidos de la siguiente forma: </w:t>
          </w:r>
        </w:p>
        <w:p w14:paraId="26F4E133" w14:textId="51F74F88" w:rsidR="000928EF" w:rsidRDefault="004C2621" w:rsidP="00492A13">
          <w:pPr>
            <w:spacing w:line="276" w:lineRule="auto"/>
            <w:jc w:val="center"/>
            <w:rPr>
              <w:noProof/>
            </w:rPr>
          </w:pPr>
          <w:r>
            <w:rPr>
              <w:noProof/>
              <w:lang w:eastAsia="es-MX"/>
            </w:rPr>
            <w:drawing>
              <wp:inline distT="0" distB="0" distL="0" distR="0" wp14:anchorId="17B2ED0D" wp14:editId="17B06FB8">
                <wp:extent cx="4474210" cy="420052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060" t="29134" r="32508"/>
                        <a:stretch/>
                      </pic:blipFill>
                      <pic:spPr bwMode="auto">
                        <a:xfrm>
                          <a:off x="0" y="0"/>
                          <a:ext cx="4508580" cy="4232793"/>
                        </a:xfrm>
                        <a:prstGeom prst="rect">
                          <a:avLst/>
                        </a:prstGeom>
                        <a:ln>
                          <a:noFill/>
                        </a:ln>
                        <a:extLst>
                          <a:ext uri="{53640926-AAD7-44D8-BBD7-CCE9431645EC}">
                            <a14:shadowObscured xmlns:a14="http://schemas.microsoft.com/office/drawing/2010/main"/>
                          </a:ext>
                        </a:extLst>
                      </pic:spPr>
                    </pic:pic>
                  </a:graphicData>
                </a:graphic>
              </wp:inline>
            </w:drawing>
          </w:r>
        </w:p>
        <w:p w14:paraId="641D2AA1" w14:textId="77777777" w:rsidR="00AB33CD" w:rsidRDefault="00AB33CD" w:rsidP="00830B0F">
          <w:pPr>
            <w:spacing w:line="360" w:lineRule="auto"/>
            <w:jc w:val="right"/>
            <w:rPr>
              <w:rFonts w:ascii="Arial" w:hAnsi="Arial" w:cs="Arial"/>
            </w:rPr>
          </w:pPr>
        </w:p>
        <w:p w14:paraId="18F85773" w14:textId="4FEFC7FC" w:rsidR="009C5E7E" w:rsidRPr="00AB33CD" w:rsidRDefault="009C5E7E" w:rsidP="00830B0F">
          <w:pPr>
            <w:jc w:val="right"/>
          </w:pPr>
        </w:p>
        <w:p w14:paraId="514C4F09" w14:textId="77777777" w:rsidR="004C2621" w:rsidRDefault="004C2621" w:rsidP="00492A13">
          <w:pPr>
            <w:spacing w:line="360" w:lineRule="auto"/>
            <w:jc w:val="both"/>
            <w:rPr>
              <w:rFonts w:ascii="Arial" w:hAnsi="Arial" w:cs="Arial"/>
            </w:rPr>
          </w:pPr>
          <w:r w:rsidRPr="00872E83">
            <w:rPr>
              <w:rFonts w:ascii="Arial" w:hAnsi="Arial" w:cs="Arial"/>
            </w:rPr>
            <w:t>El Presupuesto de Egresos del ejercicio fiscal 2020 está orientado a satisfacer las necesidades sociales de interés colectivo, atendiendo el Plan de Desarrollo del Estado de México 2017-2023 y se distribuye de la siguiente manera:</w:t>
          </w:r>
        </w:p>
        <w:p w14:paraId="12DA0136" w14:textId="5BCADA42" w:rsidR="00255DF7" w:rsidRDefault="00255DF7" w:rsidP="00492A13">
          <w:pPr>
            <w:spacing w:line="360" w:lineRule="auto"/>
            <w:jc w:val="both"/>
            <w:rPr>
              <w:rFonts w:ascii="Arial" w:hAnsi="Arial" w:cs="Arial"/>
            </w:rPr>
          </w:pPr>
          <w:r>
            <w:rPr>
              <w:rFonts w:ascii="Arial" w:hAnsi="Arial" w:cs="Arial"/>
            </w:rPr>
            <w:t>Por entidad pública</w:t>
          </w:r>
        </w:p>
        <w:p w14:paraId="506D229F" w14:textId="79072756" w:rsidR="00255DF7" w:rsidRDefault="00255DF7" w:rsidP="00A127A5">
          <w:pPr>
            <w:spacing w:line="360" w:lineRule="auto"/>
            <w:rPr>
              <w:rFonts w:ascii="Arial" w:hAnsi="Arial" w:cs="Arial"/>
            </w:rPr>
          </w:pPr>
          <w:r w:rsidRPr="00255DF7">
            <w:rPr>
              <w:noProof/>
              <w:lang w:eastAsia="es-MX"/>
            </w:rPr>
            <w:drawing>
              <wp:inline distT="0" distB="0" distL="0" distR="0" wp14:anchorId="1F761FF9" wp14:editId="405431CC">
                <wp:extent cx="4581525" cy="27432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14:paraId="76FA4D42" w14:textId="77777777" w:rsidR="00E642E2" w:rsidRPr="00E642E2" w:rsidRDefault="00E642E2" w:rsidP="00666CA5">
          <w:pPr>
            <w:spacing w:line="360" w:lineRule="auto"/>
            <w:jc w:val="both"/>
            <w:rPr>
              <w:rFonts w:ascii="Arial" w:hAnsi="Arial" w:cs="Arial"/>
              <w:i/>
              <w:sz w:val="14"/>
            </w:rPr>
          </w:pPr>
          <w:r w:rsidRPr="00E642E2">
            <w:rPr>
              <w:i/>
              <w:sz w:val="14"/>
            </w:rPr>
            <w:t xml:space="preserve">Elaboración propia con datos de </w:t>
          </w:r>
          <w:hyperlink r:id="rId20" w:history="1">
            <w:r w:rsidRPr="00E642E2">
              <w:rPr>
                <w:rStyle w:val="Hipervnculo"/>
                <w:rFonts w:ascii="Arial" w:hAnsi="Arial" w:cs="Arial"/>
                <w:i/>
                <w:color w:val="auto"/>
                <w:sz w:val="14"/>
                <w:u w:val="none"/>
              </w:rPr>
              <w:t>https://transparenciafiscal.edomex.gob.mx/sites/transparenciafiscal.edomex.gob.mx/files/files/pdf/rendicion-cuentas/cuenta-publica-2020/TomoI/1-Cumplimiento-Disposiciones-Legales.pdf</w:t>
            </w:r>
          </w:hyperlink>
        </w:p>
        <w:p w14:paraId="7B1886DA" w14:textId="77777777" w:rsidR="00E642E2" w:rsidRDefault="00E642E2" w:rsidP="00830B0F">
          <w:pPr>
            <w:spacing w:line="360" w:lineRule="auto"/>
            <w:jc w:val="right"/>
            <w:rPr>
              <w:rFonts w:ascii="Arial" w:hAnsi="Arial" w:cs="Arial"/>
            </w:rPr>
          </w:pPr>
        </w:p>
        <w:p w14:paraId="1F8E1470" w14:textId="71CBA231" w:rsidR="008159C2" w:rsidRPr="00872E83" w:rsidRDefault="00E642E2" w:rsidP="00FD5155">
          <w:pPr>
            <w:spacing w:line="360" w:lineRule="auto"/>
            <w:jc w:val="both"/>
            <w:rPr>
              <w:rFonts w:ascii="Arial" w:hAnsi="Arial" w:cs="Arial"/>
            </w:rPr>
          </w:pPr>
          <w:r w:rsidRPr="00255DF7">
            <w:rPr>
              <w:noProof/>
              <w:lang w:eastAsia="es-MX"/>
            </w:rPr>
            <w:drawing>
              <wp:inline distT="0" distB="0" distL="0" distR="0" wp14:anchorId="1045E37E" wp14:editId="6435159D">
                <wp:extent cx="5610225" cy="2476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247650"/>
                        </a:xfrm>
                        <a:prstGeom prst="rect">
                          <a:avLst/>
                        </a:prstGeom>
                        <a:noFill/>
                        <a:ln>
                          <a:noFill/>
                        </a:ln>
                      </pic:spPr>
                    </pic:pic>
                  </a:graphicData>
                </a:graphic>
              </wp:inline>
            </w:drawing>
          </w:r>
        </w:p>
        <w:p w14:paraId="1040C339" w14:textId="77777777" w:rsidR="008159C2" w:rsidRDefault="008159C2" w:rsidP="00830B0F">
          <w:pPr>
            <w:spacing w:line="360" w:lineRule="auto"/>
            <w:jc w:val="right"/>
            <w:rPr>
              <w:rFonts w:ascii="Arial" w:hAnsi="Arial" w:cs="Arial"/>
            </w:rPr>
          </w:pPr>
        </w:p>
        <w:p w14:paraId="4E189212" w14:textId="4726C476" w:rsidR="00255DF7" w:rsidRPr="00872E83" w:rsidRDefault="00424FA9" w:rsidP="00FD5155">
          <w:pPr>
            <w:spacing w:line="360" w:lineRule="auto"/>
            <w:jc w:val="both"/>
            <w:rPr>
              <w:rFonts w:ascii="Arial" w:hAnsi="Arial" w:cs="Arial"/>
            </w:rPr>
          </w:pPr>
          <w:r>
            <w:rPr>
              <w:rFonts w:ascii="Arial" w:hAnsi="Arial" w:cs="Arial"/>
            </w:rPr>
            <w:t xml:space="preserve">Es así que se </w:t>
          </w:r>
          <w:r w:rsidR="008159C2">
            <w:rPr>
              <w:rFonts w:ascii="Arial" w:hAnsi="Arial" w:cs="Arial"/>
            </w:rPr>
            <w:t>ejerció</w:t>
          </w:r>
          <w:r>
            <w:rPr>
              <w:rFonts w:ascii="Arial" w:hAnsi="Arial" w:cs="Arial"/>
            </w:rPr>
            <w:t xml:space="preserve"> un presupuesto por </w:t>
          </w:r>
          <w:r w:rsidR="00255DF7">
            <w:rPr>
              <w:rFonts w:ascii="Arial" w:hAnsi="Arial" w:cs="Arial"/>
            </w:rPr>
            <w:t>30</w:t>
          </w:r>
          <w:r w:rsidR="008159C2">
            <w:rPr>
              <w:rFonts w:ascii="Arial" w:hAnsi="Arial" w:cs="Arial"/>
            </w:rPr>
            <w:t>7 796 miles de millones 984 mil pesos generando un ahorro presupuestal de 5’533,840</w:t>
          </w:r>
        </w:p>
        <w:p w14:paraId="3338E55F" w14:textId="018002F8" w:rsidR="004C2621" w:rsidRPr="004C2621" w:rsidRDefault="004C2621" w:rsidP="00830B0F">
          <w:pPr>
            <w:spacing w:line="360" w:lineRule="auto"/>
            <w:jc w:val="right"/>
            <w:rPr>
              <w:rFonts w:ascii="Arial" w:hAnsi="Arial" w:cs="Arial"/>
              <w:sz w:val="22"/>
              <w:szCs w:val="22"/>
            </w:rPr>
          </w:pPr>
        </w:p>
        <w:p w14:paraId="062ED476" w14:textId="52CAAB32" w:rsidR="004C2621" w:rsidRDefault="008159C2" w:rsidP="00830B0F">
          <w:pPr>
            <w:spacing w:line="360" w:lineRule="auto"/>
            <w:jc w:val="right"/>
            <w:rPr>
              <w:rFonts w:ascii="Arial" w:hAnsi="Arial" w:cs="Arial"/>
            </w:rPr>
          </w:pPr>
          <w:r w:rsidRPr="008159C2">
            <w:rPr>
              <w:noProof/>
              <w:lang w:eastAsia="es-MX"/>
            </w:rPr>
            <w:drawing>
              <wp:inline distT="0" distB="0" distL="0" distR="0" wp14:anchorId="52AB666E" wp14:editId="0118BCFE">
                <wp:extent cx="5605670" cy="2741632"/>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876" cy="2743200"/>
                        </a:xfrm>
                        <a:prstGeom prst="rect">
                          <a:avLst/>
                        </a:prstGeom>
                        <a:noFill/>
                        <a:ln>
                          <a:noFill/>
                        </a:ln>
                      </pic:spPr>
                    </pic:pic>
                  </a:graphicData>
                </a:graphic>
              </wp:inline>
            </w:drawing>
          </w:r>
        </w:p>
        <w:p w14:paraId="7CF2E99D" w14:textId="77777777" w:rsidR="00E642E2" w:rsidRPr="00E642E2" w:rsidRDefault="00E642E2" w:rsidP="00D33713">
          <w:pPr>
            <w:spacing w:line="360" w:lineRule="auto"/>
            <w:jc w:val="both"/>
            <w:rPr>
              <w:rFonts w:ascii="Arial" w:hAnsi="Arial" w:cs="Arial"/>
              <w:i/>
              <w:sz w:val="14"/>
            </w:rPr>
          </w:pPr>
          <w:r w:rsidRPr="00E642E2">
            <w:rPr>
              <w:i/>
              <w:sz w:val="14"/>
            </w:rPr>
            <w:t xml:space="preserve">Elaboración propia con datos de </w:t>
          </w:r>
          <w:hyperlink r:id="rId23" w:history="1">
            <w:r w:rsidRPr="00E642E2">
              <w:rPr>
                <w:rStyle w:val="Hipervnculo"/>
                <w:rFonts w:ascii="Arial" w:hAnsi="Arial" w:cs="Arial"/>
                <w:i/>
                <w:color w:val="auto"/>
                <w:sz w:val="14"/>
                <w:u w:val="none"/>
              </w:rPr>
              <w:t>https://transparenciafiscal.edomex.gob.mx/sites/transparenciafiscal.edomex.gob.mx/files/files/pdf/rendicion-cuentas/cuenta-publica-2020/TomoI/1-Cumplimiento-Disposiciones-Legales.pdf</w:t>
            </w:r>
          </w:hyperlink>
        </w:p>
        <w:p w14:paraId="7B72C4C0" w14:textId="77777777" w:rsidR="00E642E2" w:rsidRPr="00872E83" w:rsidRDefault="00E642E2" w:rsidP="00830B0F">
          <w:pPr>
            <w:spacing w:line="360" w:lineRule="auto"/>
            <w:jc w:val="right"/>
            <w:rPr>
              <w:rFonts w:ascii="Arial" w:hAnsi="Arial" w:cs="Arial"/>
            </w:rPr>
          </w:pPr>
        </w:p>
        <w:p w14:paraId="4D996E23" w14:textId="424C4C6D" w:rsidR="004C2621" w:rsidRPr="00872E83" w:rsidRDefault="004C2621" w:rsidP="00D33713">
          <w:pPr>
            <w:spacing w:line="360" w:lineRule="auto"/>
            <w:jc w:val="both"/>
            <w:rPr>
              <w:rFonts w:ascii="Arial" w:hAnsi="Arial" w:cs="Arial"/>
            </w:rPr>
          </w:pPr>
          <w:r w:rsidRPr="00872E83">
            <w:rPr>
              <w:rFonts w:ascii="Arial" w:hAnsi="Arial" w:cs="Arial"/>
            </w:rPr>
            <w:t xml:space="preserve">El gasto asignado en este </w:t>
          </w:r>
          <w:r w:rsidRPr="00872E83">
            <w:rPr>
              <w:rFonts w:ascii="Arial" w:hAnsi="Arial" w:cs="Arial"/>
              <w:color w:val="2F5496" w:themeColor="accent1" w:themeShade="BF"/>
            </w:rPr>
            <w:t>Presupuesto de Egresos al Poder Legislativo para el ejercicio fiscal de 2020</w:t>
          </w:r>
          <w:r w:rsidRPr="00872E83">
            <w:rPr>
              <w:rFonts w:ascii="Arial" w:hAnsi="Arial" w:cs="Arial"/>
            </w:rPr>
            <w:t xml:space="preserve"> asciende a la cantidad de $1</w:t>
          </w:r>
          <w:r w:rsidR="00196EC7" w:rsidRPr="00872E83">
            <w:rPr>
              <w:rFonts w:ascii="Arial" w:hAnsi="Arial" w:cs="Arial"/>
            </w:rPr>
            <w:t>,</w:t>
          </w:r>
          <w:r w:rsidR="00196EC7">
            <w:rPr>
              <w:rFonts w:ascii="Arial" w:hAnsi="Arial" w:cs="Arial"/>
            </w:rPr>
            <w:t>518,528</w:t>
          </w:r>
          <w:r w:rsidRPr="00872E83">
            <w:rPr>
              <w:rFonts w:ascii="Arial" w:hAnsi="Arial" w:cs="Arial"/>
            </w:rPr>
            <w:t xml:space="preserve">, que incluye las previsiones por incremento salarial. Sus gastos de operación y su distribución, serán definidos por el propio Poder, de acuerdo con lo siguiente: </w:t>
          </w:r>
        </w:p>
        <w:p w14:paraId="12230232" w14:textId="27F5E797" w:rsidR="004C2621" w:rsidRPr="00872E83" w:rsidRDefault="004C2621" w:rsidP="00D33713">
          <w:pPr>
            <w:spacing w:line="360" w:lineRule="auto"/>
            <w:jc w:val="both"/>
            <w:rPr>
              <w:rFonts w:ascii="Arial" w:hAnsi="Arial" w:cs="Arial"/>
            </w:rPr>
          </w:pPr>
          <w:r w:rsidRPr="00872E83">
            <w:rPr>
              <w:rFonts w:ascii="Arial" w:hAnsi="Arial" w:cs="Arial"/>
            </w:rPr>
            <w:t xml:space="preserve">El </w:t>
          </w:r>
          <w:r w:rsidRPr="00872E83">
            <w:rPr>
              <w:rFonts w:ascii="Arial" w:hAnsi="Arial" w:cs="Arial"/>
              <w:color w:val="2F5496" w:themeColor="accent1" w:themeShade="BF"/>
            </w:rPr>
            <w:t>presupuesto asignado al Poder Judicial para el ejercicio fiscal 2020</w:t>
          </w:r>
          <w:r w:rsidRPr="00872E83">
            <w:rPr>
              <w:rFonts w:ascii="Arial" w:hAnsi="Arial" w:cs="Arial"/>
            </w:rPr>
            <w:t>, importa un monto de $3,</w:t>
          </w:r>
          <w:r w:rsidR="008159C2">
            <w:rPr>
              <w:rFonts w:ascii="Arial" w:hAnsi="Arial" w:cs="Arial"/>
            </w:rPr>
            <w:t>844,290</w:t>
          </w:r>
          <w:r w:rsidRPr="00872E83">
            <w:rPr>
              <w:rFonts w:ascii="Arial" w:hAnsi="Arial" w:cs="Arial"/>
            </w:rPr>
            <w:t>, en cumplimiento a lo establecido en los Artículos 88 de la Constitución Política del Estado Libre y Soberano de México, 299 Bis del Código Financiero del Estado de México y Municipios; que incluye las previsiones por incremento salarial y gasto de operación, recursos adicionales para la creación de Tribunales Laborales a efecto de implementar la reforma al Sistema Judicial Laboral en el Estado de México.</w:t>
          </w:r>
        </w:p>
        <w:p w14:paraId="457E98D5" w14:textId="77777777" w:rsidR="008159C2" w:rsidRDefault="004C2621" w:rsidP="001447B9">
          <w:pPr>
            <w:spacing w:line="360" w:lineRule="auto"/>
            <w:jc w:val="both"/>
            <w:rPr>
              <w:rFonts w:ascii="Arial" w:hAnsi="Arial" w:cs="Arial"/>
            </w:rPr>
          </w:pPr>
          <w:r w:rsidRPr="00872E83">
            <w:rPr>
              <w:rFonts w:ascii="Arial" w:hAnsi="Arial" w:cs="Arial"/>
            </w:rPr>
            <w:t xml:space="preserve">Las erogaciones previstas para el </w:t>
          </w:r>
          <w:r w:rsidRPr="00872E83">
            <w:rPr>
              <w:rFonts w:ascii="Arial" w:hAnsi="Arial" w:cs="Arial"/>
              <w:color w:val="2F5496" w:themeColor="accent1" w:themeShade="BF"/>
            </w:rPr>
            <w:t xml:space="preserve">Poder Ejecutivo </w:t>
          </w:r>
          <w:r w:rsidRPr="00872E83">
            <w:rPr>
              <w:rFonts w:ascii="Arial" w:hAnsi="Arial" w:cs="Arial"/>
            </w:rPr>
            <w:t>para el gasto corriente y de inversión de las dependencias, en su clasificación administrativa, ascienden a la cantidad de $</w:t>
          </w:r>
          <w:r w:rsidR="008159C2">
            <w:rPr>
              <w:rFonts w:ascii="Arial" w:hAnsi="Arial" w:cs="Arial"/>
            </w:rPr>
            <w:t>302,434.16</w:t>
          </w:r>
          <w:r w:rsidRPr="00872E83">
            <w:rPr>
              <w:rFonts w:ascii="Arial" w:hAnsi="Arial" w:cs="Arial"/>
            </w:rPr>
            <w:t xml:space="preserve"> de los cuales $</w:t>
          </w:r>
          <w:r w:rsidR="008159C2">
            <w:rPr>
              <w:rFonts w:ascii="Arial" w:hAnsi="Arial" w:cs="Arial"/>
            </w:rPr>
            <w:t>235,572.40</w:t>
          </w:r>
          <w:r w:rsidRPr="00872E83">
            <w:rPr>
              <w:rFonts w:ascii="Arial" w:hAnsi="Arial" w:cs="Arial"/>
            </w:rPr>
            <w:t xml:space="preserve"> </w:t>
          </w:r>
          <w:r w:rsidR="008159C2">
            <w:rPr>
              <w:rFonts w:ascii="Arial" w:hAnsi="Arial" w:cs="Arial"/>
            </w:rPr>
            <w:t>son programables</w:t>
          </w:r>
        </w:p>
        <w:p w14:paraId="0B0D0FC4" w14:textId="77777777" w:rsidR="00D00AB2" w:rsidRDefault="008159C2" w:rsidP="00830B0F">
          <w:pPr>
            <w:spacing w:line="360" w:lineRule="auto"/>
            <w:jc w:val="right"/>
            <w:rPr>
              <w:rFonts w:ascii="Arial" w:hAnsi="Arial" w:cs="Arial"/>
            </w:rPr>
          </w:pPr>
          <w:r>
            <w:rPr>
              <w:noProof/>
              <w:lang w:eastAsia="es-MX"/>
            </w:rPr>
            <w:drawing>
              <wp:inline distT="0" distB="0" distL="0" distR="0" wp14:anchorId="6973A1F1" wp14:editId="44B35CD1">
                <wp:extent cx="5612130" cy="3486785"/>
                <wp:effectExtent l="0" t="0" r="26670" b="1841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3CA53C" w14:textId="77777777" w:rsidR="00E642E2" w:rsidRPr="00E642E2" w:rsidRDefault="00E642E2" w:rsidP="001447B9">
          <w:pPr>
            <w:spacing w:line="360" w:lineRule="auto"/>
            <w:jc w:val="both"/>
            <w:rPr>
              <w:rFonts w:ascii="Arial" w:hAnsi="Arial" w:cs="Arial"/>
              <w:i/>
              <w:sz w:val="14"/>
            </w:rPr>
          </w:pPr>
          <w:r w:rsidRPr="00E642E2">
            <w:rPr>
              <w:i/>
              <w:sz w:val="14"/>
            </w:rPr>
            <w:t xml:space="preserve">Elaboración propia con datos de </w:t>
          </w:r>
          <w:hyperlink r:id="rId25" w:history="1">
            <w:r w:rsidRPr="00E642E2">
              <w:rPr>
                <w:rStyle w:val="Hipervnculo"/>
                <w:rFonts w:ascii="Arial" w:hAnsi="Arial" w:cs="Arial"/>
                <w:i/>
                <w:color w:val="auto"/>
                <w:sz w:val="14"/>
                <w:u w:val="none"/>
              </w:rPr>
              <w:t>https://transparenciafiscal.edomex.gob.mx/sites/transparenciafiscal.edomex.gob.mx/files/files/pdf/rendicion-cuentas/cuenta-publica-2020/TomoI/1-Cumplimiento-Disposiciones-Legales.pdf</w:t>
            </w:r>
          </w:hyperlink>
        </w:p>
        <w:p w14:paraId="0DF93395" w14:textId="77777777" w:rsidR="00E642E2" w:rsidRDefault="00E642E2" w:rsidP="001447B9">
          <w:pPr>
            <w:spacing w:line="360" w:lineRule="auto"/>
            <w:jc w:val="both"/>
            <w:rPr>
              <w:rFonts w:ascii="Arial" w:hAnsi="Arial" w:cs="Arial"/>
            </w:rPr>
          </w:pPr>
        </w:p>
        <w:p w14:paraId="6417E498" w14:textId="08AB8455" w:rsidR="004C2621" w:rsidRDefault="00D00AB2" w:rsidP="001447B9">
          <w:pPr>
            <w:spacing w:line="360" w:lineRule="auto"/>
            <w:jc w:val="both"/>
            <w:rPr>
              <w:rFonts w:ascii="Arial" w:hAnsi="Arial" w:cs="Arial"/>
            </w:rPr>
          </w:pPr>
          <w:r>
            <w:rPr>
              <w:rFonts w:ascii="Arial" w:hAnsi="Arial" w:cs="Arial"/>
            </w:rPr>
            <w:t xml:space="preserve">Donde se destina el 52% a pago de nómina, el 18% a gastos administrativos y solo el 13% a la obra </w:t>
          </w:r>
          <w:r w:rsidR="00EE24E1">
            <w:rPr>
              <w:rFonts w:ascii="Arial" w:hAnsi="Arial" w:cs="Arial"/>
            </w:rPr>
            <w:t>pública.</w:t>
          </w:r>
        </w:p>
        <w:p w14:paraId="01EBF655" w14:textId="50E4459C" w:rsidR="00D00AB2" w:rsidRDefault="00EE24E1" w:rsidP="001447B9">
          <w:pPr>
            <w:spacing w:line="360" w:lineRule="auto"/>
            <w:jc w:val="both"/>
            <w:rPr>
              <w:rFonts w:ascii="Arial" w:hAnsi="Arial" w:cs="Arial"/>
            </w:rPr>
          </w:pPr>
          <w:r>
            <w:rPr>
              <w:rFonts w:ascii="Arial" w:hAnsi="Arial" w:cs="Arial"/>
            </w:rPr>
            <w:t xml:space="preserve">Finalmente se ejercieron </w:t>
          </w:r>
          <w:r w:rsidRPr="00EE24E1">
            <w:rPr>
              <w:rFonts w:ascii="Arial" w:hAnsi="Arial" w:cs="Arial"/>
            </w:rPr>
            <w:t>68</w:t>
          </w:r>
          <w:r>
            <w:rPr>
              <w:rFonts w:ascii="Arial" w:hAnsi="Arial" w:cs="Arial"/>
            </w:rPr>
            <w:t>,</w:t>
          </w:r>
          <w:r w:rsidRPr="00EE24E1">
            <w:rPr>
              <w:rFonts w:ascii="Arial" w:hAnsi="Arial" w:cs="Arial"/>
            </w:rPr>
            <w:t xml:space="preserve"> 861,763.6mil</w:t>
          </w:r>
          <w:r>
            <w:rPr>
              <w:rFonts w:ascii="Arial" w:hAnsi="Arial" w:cs="Arial"/>
            </w:rPr>
            <w:t xml:space="preserve"> pesos en gastos no programables como muestra la grafica</w:t>
          </w:r>
        </w:p>
        <w:p w14:paraId="72155E7C" w14:textId="77777777" w:rsidR="00EE24E1" w:rsidRDefault="00EE24E1" w:rsidP="00830B0F">
          <w:pPr>
            <w:spacing w:line="360" w:lineRule="auto"/>
            <w:jc w:val="right"/>
            <w:rPr>
              <w:rFonts w:ascii="Arial" w:hAnsi="Arial" w:cs="Arial"/>
            </w:rPr>
          </w:pPr>
        </w:p>
        <w:p w14:paraId="38D6AA3E" w14:textId="7FA50310" w:rsidR="00EE24E1" w:rsidRDefault="00EE24E1" w:rsidP="00830B0F">
          <w:pPr>
            <w:spacing w:line="360" w:lineRule="auto"/>
            <w:jc w:val="right"/>
            <w:rPr>
              <w:rFonts w:ascii="Arial" w:hAnsi="Arial" w:cs="Arial"/>
            </w:rPr>
          </w:pPr>
          <w:r>
            <w:rPr>
              <w:noProof/>
              <w:lang w:eastAsia="es-MX"/>
            </w:rPr>
            <w:drawing>
              <wp:inline distT="0" distB="0" distL="0" distR="0" wp14:anchorId="7873833B" wp14:editId="04D64F7D">
                <wp:extent cx="5612130" cy="3637280"/>
                <wp:effectExtent l="0" t="0" r="26670" b="2032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5EDE8E" w14:textId="77777777" w:rsidR="00E642E2" w:rsidRPr="00E642E2" w:rsidRDefault="00E642E2" w:rsidP="002062FC">
          <w:pPr>
            <w:spacing w:line="360" w:lineRule="auto"/>
            <w:jc w:val="both"/>
            <w:rPr>
              <w:rFonts w:ascii="Arial" w:hAnsi="Arial" w:cs="Arial"/>
              <w:i/>
              <w:sz w:val="14"/>
            </w:rPr>
          </w:pPr>
          <w:r w:rsidRPr="00E642E2">
            <w:rPr>
              <w:i/>
              <w:sz w:val="14"/>
            </w:rPr>
            <w:t xml:space="preserve">Elaboración propia con datos de </w:t>
          </w:r>
          <w:hyperlink r:id="rId27" w:history="1">
            <w:r w:rsidRPr="00E642E2">
              <w:rPr>
                <w:rStyle w:val="Hipervnculo"/>
                <w:rFonts w:ascii="Arial" w:hAnsi="Arial" w:cs="Arial"/>
                <w:i/>
                <w:color w:val="auto"/>
                <w:sz w:val="14"/>
                <w:u w:val="none"/>
              </w:rPr>
              <w:t>https://transparenciafiscal.edomex.gob.mx/sites/transparenciafiscal.edomex.gob.mx/files/files/pdf/rendicion-cuentas/cuenta-publica-2020/TomoI/1-Cumplimiento-Disposiciones-Legales.pdf</w:t>
            </w:r>
          </w:hyperlink>
        </w:p>
        <w:p w14:paraId="2D9BBAED" w14:textId="77777777" w:rsidR="00E642E2" w:rsidRDefault="00E642E2" w:rsidP="002062FC">
          <w:pPr>
            <w:spacing w:line="360" w:lineRule="auto"/>
            <w:jc w:val="both"/>
            <w:rPr>
              <w:rFonts w:ascii="Arial" w:hAnsi="Arial" w:cs="Arial"/>
            </w:rPr>
          </w:pPr>
        </w:p>
        <w:p w14:paraId="1E4DD548" w14:textId="1C8DCA66" w:rsidR="00EE24E1" w:rsidRDefault="00EE24E1" w:rsidP="002062FC">
          <w:pPr>
            <w:spacing w:line="360" w:lineRule="auto"/>
            <w:jc w:val="both"/>
            <w:rPr>
              <w:rFonts w:ascii="Arial" w:hAnsi="Arial" w:cs="Arial"/>
            </w:rPr>
          </w:pPr>
          <w:r>
            <w:rPr>
              <w:rFonts w:ascii="Arial" w:hAnsi="Arial" w:cs="Arial"/>
            </w:rPr>
            <w:t>De los que se destina el 68% a transferencias a municipios tales como participaciones, aportaciones del ramo 33 y convenios y un 32% a la Deuda donde se pagó deuda por 15, 562,926.60, se disminuyó la deuda documentada en 2, 383,398.70 y se absorbieron gastos de deud</w:t>
          </w:r>
          <w:r w:rsidR="00810A76">
            <w:rPr>
              <w:rFonts w:ascii="Arial" w:hAnsi="Arial" w:cs="Arial"/>
            </w:rPr>
            <w:t>a por 4,033</w:t>
          </w:r>
          <w:r w:rsidR="00E63379">
            <w:rPr>
              <w:rFonts w:ascii="Arial" w:hAnsi="Arial" w:cs="Arial"/>
            </w:rPr>
            <w:t>,</w:t>
          </w:r>
          <w:r w:rsidR="00366672">
            <w:rPr>
              <w:rFonts w:ascii="Arial" w:hAnsi="Arial" w:cs="Arial"/>
            </w:rPr>
            <w:t>583.60</w:t>
          </w:r>
          <w:r w:rsidR="006213D3">
            <w:rPr>
              <w:rFonts w:ascii="Arial" w:hAnsi="Arial" w:cs="Arial"/>
            </w:rPr>
            <w:t xml:space="preserve"> miles de pesos.</w:t>
          </w:r>
        </w:p>
        <w:p w14:paraId="4853174B" w14:textId="20905CAA" w:rsidR="00810A76" w:rsidRDefault="00810A76" w:rsidP="002062FC">
          <w:pPr>
            <w:spacing w:line="360" w:lineRule="auto"/>
            <w:jc w:val="both"/>
            <w:rPr>
              <w:rFonts w:ascii="Arial" w:hAnsi="Arial" w:cs="Arial"/>
            </w:rPr>
          </w:pPr>
          <w:r>
            <w:rPr>
              <w:rFonts w:ascii="Arial" w:hAnsi="Arial" w:cs="Arial"/>
            </w:rPr>
            <w:t>Además es de destacar acciones específicas emprendidas en el ejercicio 2020</w:t>
          </w:r>
        </w:p>
        <w:p w14:paraId="2F1B96E7" w14:textId="1919C985"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Coordinación General de Comunicación Social. Con la finalidad de dar impulso e informar a la sociedad Mexiquense de los proyectos y acciones incluidos en el Plan de Desarrollo Estatal 2017-2023 como eje de la promoción del desarrollo sostenible, colocando al Gobierno del Estado de México a la vanguardia del desarrollo nacional.</w:t>
          </w:r>
        </w:p>
        <w:p w14:paraId="5078FAA0"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Secretaría General de Gobierno. Las adecuaciones presupuestales fueron solicitadas principalmente para subsanar los gastos derivados del cambio de inmueble, así como para llevar a cabo la adquisición de servicios de arrendamiento de vehículos y de equipo de cómputo. De la misma manera, se requieren recursos para solventar los gastos inherentes a los servicios de asesorías asociadas a convenios, reparación y mantenimiento de vehículos, congresos y convenciones.</w:t>
          </w:r>
        </w:p>
        <w:p w14:paraId="4C33BCBE"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Secretaría de Seguridad.</w:t>
          </w:r>
        </w:p>
        <w:p w14:paraId="77DC9F16"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Secretaría de Finanzas. Se coordinaron y ejecutaron acciones diversas para impulsar un servicio eficiente y de calidad en la atención a la ciudadanía, mediante la modernización permanente de la Administración Pública Estatal.</w:t>
          </w:r>
        </w:p>
        <w:p w14:paraId="65CFF591"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Secretaría de Salud.</w:t>
          </w:r>
        </w:p>
        <w:p w14:paraId="760CAF23"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del Trabajo: Implementar un observatorio laboral que se constituya en un instrumento robusto y funcional para obtener, producir y revisar información relevante del mercado laboral en el Estado; y para el Programa Salario Rosa el cual tiene como propósito contribuir en la disminución de las condiciones de pobreza multidimensional o vulnerabilidad de las mujeres de 18 a 59 años de edad. </w:t>
          </w:r>
        </w:p>
        <w:p w14:paraId="5FA7CE65"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Secretaría de Educación: En el ejercicio que se informa se tuvieron ampliaciones totales por 679 millones 964.3 miles de pesos. Principalmente causada por la situación derivada por el virus SARS-CoV2 (COVID19).</w:t>
          </w:r>
        </w:p>
        <w:p w14:paraId="43A5DC1F"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Desarrollo Social. La solicitud de ampliaciones va con el propósito de impulsar acciones de desarrollo social prioritarias. </w:t>
          </w:r>
        </w:p>
        <w:p w14:paraId="4CFA6C86"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Desarrollo Económico: En el periodo que se informa se tuvieron reducciones presupuestales por un total de 70 millones 250.1 miles de pesos, situación que principalmente fue causada por la situación derivada por el virus SARS-CoV2 (COVID-19). </w:t>
          </w:r>
        </w:p>
        <w:p w14:paraId="3E2233A9" w14:textId="77777777" w:rsidR="004C2621" w:rsidRPr="00872E83" w:rsidRDefault="004C2621" w:rsidP="002062FC">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la Contraloría: En el ejercicio que se informa se tuvieron reducciones estatales por un total de 27 millones 793 mil pesos, situación principalmente causada por la situación derivada por el virus SARSCoV2 (COVID-19). </w:t>
          </w:r>
        </w:p>
        <w:p w14:paraId="4124B236"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Movilidad: En el ejercicio que se informa se tuvieron ampliaciones estatales por 118 millones 717.3 miles de pesos. </w:t>
          </w:r>
        </w:p>
        <w:p w14:paraId="37D596F6"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del Medio Ambiente. La importancia del cuidado del medio ambiente es hoy una necesidad inherente e innegable de los seres humanos por ello durante el periodo que se informa se recibieron ampliaciones por 144 millones 568.1 miles de pesos. </w:t>
          </w:r>
        </w:p>
        <w:p w14:paraId="180D30F0"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Justicia y Derechos Humanos. Se autorizaron ampliaciones presupuestales por 32 millones 179.8 miles de pesos orientados principalmente, al pago de los compromisos del Convenio de Coordinación celebrado entre la Secretaría de Gobernación, la Comisión para Prevenir y Erradicar la Violencia Contra las Mujeres y el Gobierno del Estado de México, con el objeto de prevenir y erradicar la violencia de género contra las mujeres; para el pago de los servicios de asesorías asociadas a convenios para el cumplimiento de los objetivos de la Dependencia; para poder cumplir con los compromisos de pago por el arrendamiento de vehículos y para concretar la reestructuración de la Secretaría. Por otra parte, obtuvo reducciones presupuestales por 357 millones 740 mil pesos. </w:t>
          </w:r>
        </w:p>
        <w:p w14:paraId="4D1B2B4C"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Desarrollo Urbano y Obra: En la actualidad el correcto uso de la comunicación es un factor fundamental para lograr que las tareas instituciones gubernamentales sean difundidas y lleguen de manera positiva al ciudadano, es por ello que durante el año se solicitaron ampliaciones netas por un total de 5 millones 069 mil pesos, a fin de establecer canales de comunicación ágiles, con contenidos específicos aprovechando el uso de las tecnologías de la información y la velocidad con que se generan las noticias. </w:t>
          </w:r>
        </w:p>
        <w:p w14:paraId="2658E0B9"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Secretaría del Campo.</w:t>
          </w:r>
        </w:p>
        <w:p w14:paraId="3AB1D214"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Cultura y Turismo.  </w:t>
          </w:r>
        </w:p>
        <w:p w14:paraId="52D51DEF"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Secretaría de la Mujer. En el periodo que se informa se autorizaron ampliaciones presupuestales netas por 287.9 miles de pesos. </w:t>
          </w:r>
        </w:p>
        <w:p w14:paraId="54EA3D67" w14:textId="77777777" w:rsidR="004C2621" w:rsidRPr="00872E83" w:rsidRDefault="004C2621" w:rsidP="00BE6815">
          <w:pPr>
            <w:pStyle w:val="Prrafodelista"/>
            <w:numPr>
              <w:ilvl w:val="0"/>
              <w:numId w:val="40"/>
            </w:numPr>
            <w:spacing w:after="160" w:line="360" w:lineRule="auto"/>
            <w:jc w:val="both"/>
            <w:rPr>
              <w:rFonts w:ascii="Arial" w:hAnsi="Arial" w:cs="Arial"/>
            </w:rPr>
          </w:pPr>
          <w:r w:rsidRPr="00872E83">
            <w:rPr>
              <w:rFonts w:ascii="Arial" w:hAnsi="Arial" w:cs="Arial"/>
            </w:rPr>
            <w:t xml:space="preserve">Junta Local de Conciliación y Arbitraje Valle de Toluca: En el periodo que se informa se tuvieron reducciones totales por un importe de 13 millones 210.2 miles de pesos. </w:t>
          </w:r>
        </w:p>
        <w:p w14:paraId="3942819E" w14:textId="77777777" w:rsidR="004C2621" w:rsidRPr="00872E83" w:rsidRDefault="004C2621" w:rsidP="00CA6817">
          <w:pPr>
            <w:pStyle w:val="Prrafodelista"/>
            <w:numPr>
              <w:ilvl w:val="0"/>
              <w:numId w:val="40"/>
            </w:numPr>
            <w:spacing w:after="160" w:line="360" w:lineRule="auto"/>
            <w:jc w:val="both"/>
            <w:rPr>
              <w:rFonts w:ascii="Arial" w:hAnsi="Arial" w:cs="Arial"/>
            </w:rPr>
          </w:pPr>
          <w:r w:rsidRPr="00872E83">
            <w:rPr>
              <w:rFonts w:ascii="Arial" w:hAnsi="Arial" w:cs="Arial"/>
            </w:rPr>
            <w:t xml:space="preserve">Tribunal Estatal de Conciliación y Arbitraje: Se tuvieron reducciones totales por 1 millón 183.3 miles de pesos durante el ejercicio 2020. </w:t>
          </w:r>
        </w:p>
        <w:p w14:paraId="47736523" w14:textId="77777777" w:rsidR="004C2621" w:rsidRPr="00872E83" w:rsidRDefault="004C2621" w:rsidP="00CA6817">
          <w:pPr>
            <w:pStyle w:val="Prrafodelista"/>
            <w:numPr>
              <w:ilvl w:val="0"/>
              <w:numId w:val="40"/>
            </w:numPr>
            <w:spacing w:after="160" w:line="360" w:lineRule="auto"/>
            <w:jc w:val="both"/>
            <w:rPr>
              <w:rFonts w:ascii="Arial" w:hAnsi="Arial" w:cs="Arial"/>
            </w:rPr>
          </w:pPr>
          <w:r w:rsidRPr="00872E83">
            <w:rPr>
              <w:rFonts w:ascii="Arial" w:hAnsi="Arial" w:cs="Arial"/>
            </w:rPr>
            <w:t>Junta Local de Conciliación y Arbitraje Valle Cuautitlán Texcoco: En el periodo que se informa se tuvieron 44 millones 477.1 miles de pesos, correspondientes a reducciones durante el ejercicio.</w:t>
          </w:r>
        </w:p>
        <w:p w14:paraId="63BC96EB" w14:textId="7F5B9EC3" w:rsidR="004C2621" w:rsidRPr="00872E83" w:rsidRDefault="004C2621" w:rsidP="004A4371">
          <w:pPr>
            <w:pStyle w:val="Ttulo1"/>
          </w:pPr>
          <w:bookmarkStart w:id="9" w:name="_Toc90995808"/>
          <w:r w:rsidRPr="00872E83">
            <w:t>CLASIFICACIÓN ECONÓM</w:t>
          </w:r>
          <w:r w:rsidR="00872E83" w:rsidRPr="00872E83">
            <w:t>I</w:t>
          </w:r>
          <w:r w:rsidRPr="00872E83">
            <w:t>CA.</w:t>
          </w:r>
          <w:bookmarkEnd w:id="9"/>
        </w:p>
        <w:p w14:paraId="54F6A8FC" w14:textId="1D37C3B4" w:rsidR="004C2621" w:rsidRPr="00872E83" w:rsidRDefault="004C2621" w:rsidP="004A4371">
          <w:pPr>
            <w:spacing w:line="360" w:lineRule="auto"/>
            <w:jc w:val="both"/>
            <w:rPr>
              <w:rFonts w:ascii="Arial" w:hAnsi="Arial" w:cs="Arial"/>
            </w:rPr>
          </w:pPr>
          <w:r w:rsidRPr="00872E83">
            <w:rPr>
              <w:rFonts w:ascii="Arial" w:hAnsi="Arial" w:cs="Arial"/>
            </w:rPr>
            <w:t>En 2020, en el sector central del Estado de México se gastaron 110 mil 839 mdp, distribuidos en siete rubros, los más relevantes fueron</w:t>
          </w:r>
          <w:r w:rsidR="00810A76" w:rsidRPr="00872E83">
            <w:rPr>
              <w:rFonts w:ascii="Arial" w:hAnsi="Arial" w:cs="Arial"/>
            </w:rPr>
            <w:t>: servicios</w:t>
          </w:r>
          <w:r w:rsidRPr="00872E83">
            <w:rPr>
              <w:rFonts w:ascii="Arial" w:hAnsi="Arial" w:cs="Arial"/>
            </w:rPr>
            <w:t xml:space="preserve"> personales a los que se destinaron 59 mil 911 mdp, principalmente para el pago de maestros, médicos, enfermeras y policías; asimismo, en inversión pública del sector central por 24 mil 323 mdp. </w:t>
          </w:r>
        </w:p>
        <w:p w14:paraId="7F8CD5F7" w14:textId="0F184CC0" w:rsidR="00D1201B" w:rsidRDefault="00872E83" w:rsidP="004A4371">
          <w:pPr>
            <w:spacing w:line="360" w:lineRule="auto"/>
            <w:jc w:val="both"/>
            <w:rPr>
              <w:rFonts w:ascii="Arial" w:hAnsi="Arial" w:cs="Arial"/>
            </w:rPr>
          </w:pPr>
          <w:r w:rsidRPr="00D1201B">
            <w:rPr>
              <w:rFonts w:ascii="Arial" w:hAnsi="Arial" w:cs="Arial"/>
            </w:rPr>
            <w:t xml:space="preserve">Para </w:t>
          </w:r>
          <w:r w:rsidR="00D1201B" w:rsidRPr="00D1201B">
            <w:rPr>
              <w:rFonts w:ascii="Arial" w:hAnsi="Arial" w:cs="Arial"/>
            </w:rPr>
            <w:t xml:space="preserve">cumplir con los objetivos de la cuenta pública estatal 2020, se apoya de otras disposiciones legales, planes y proyectos, entre ellos y bajo los cuales se trabajaron fueron: el PLAN DE DESARROLLO DEL ESTADO DE MÉXICO 2017-2023, Cuenta Pública Ciudadana 2020, Informes de gobierno, etc. </w:t>
          </w:r>
        </w:p>
        <w:p w14:paraId="528B18BB" w14:textId="77777777" w:rsidR="00810A76" w:rsidRDefault="00810A76" w:rsidP="00830B0F">
          <w:pPr>
            <w:spacing w:line="360" w:lineRule="auto"/>
            <w:jc w:val="right"/>
            <w:rPr>
              <w:rFonts w:ascii="Arial" w:hAnsi="Arial" w:cs="Arial"/>
            </w:rPr>
          </w:pPr>
        </w:p>
        <w:p w14:paraId="3D40A410" w14:textId="77777777" w:rsidR="00810A76" w:rsidRDefault="00810A76" w:rsidP="00830B0F">
          <w:pPr>
            <w:spacing w:line="360" w:lineRule="auto"/>
            <w:jc w:val="right"/>
            <w:rPr>
              <w:rFonts w:ascii="Arial" w:hAnsi="Arial" w:cs="Arial"/>
            </w:rPr>
          </w:pPr>
        </w:p>
        <w:p w14:paraId="3FFB25DB" w14:textId="77777777" w:rsidR="00810A76" w:rsidRDefault="00810A76" w:rsidP="00830B0F">
          <w:pPr>
            <w:spacing w:line="360" w:lineRule="auto"/>
            <w:jc w:val="right"/>
            <w:rPr>
              <w:rFonts w:ascii="Arial" w:hAnsi="Arial" w:cs="Arial"/>
            </w:rPr>
          </w:pPr>
        </w:p>
        <w:p w14:paraId="20E8241E" w14:textId="77777777" w:rsidR="00810A76" w:rsidRDefault="00810A76" w:rsidP="00830B0F">
          <w:pPr>
            <w:spacing w:line="360" w:lineRule="auto"/>
            <w:jc w:val="right"/>
            <w:rPr>
              <w:rFonts w:ascii="Arial" w:hAnsi="Arial" w:cs="Arial"/>
            </w:rPr>
          </w:pPr>
        </w:p>
        <w:p w14:paraId="04BE5969" w14:textId="77777777" w:rsidR="00810A76" w:rsidRDefault="00810A76" w:rsidP="00830B0F">
          <w:pPr>
            <w:spacing w:line="360" w:lineRule="auto"/>
            <w:jc w:val="right"/>
            <w:rPr>
              <w:rFonts w:ascii="Arial" w:hAnsi="Arial" w:cs="Arial"/>
            </w:rPr>
          </w:pPr>
        </w:p>
        <w:p w14:paraId="1578C1B3" w14:textId="77777777" w:rsidR="00810A76" w:rsidRDefault="00810A76" w:rsidP="00830B0F">
          <w:pPr>
            <w:spacing w:line="360" w:lineRule="auto"/>
            <w:jc w:val="right"/>
            <w:rPr>
              <w:rFonts w:ascii="Arial" w:hAnsi="Arial" w:cs="Arial"/>
            </w:rPr>
          </w:pPr>
        </w:p>
        <w:p w14:paraId="54ABBE7A" w14:textId="77777777" w:rsidR="00810A76" w:rsidRDefault="00810A76" w:rsidP="00830B0F">
          <w:pPr>
            <w:spacing w:line="360" w:lineRule="auto"/>
            <w:jc w:val="right"/>
            <w:rPr>
              <w:rFonts w:ascii="Arial" w:hAnsi="Arial" w:cs="Arial"/>
            </w:rPr>
          </w:pPr>
        </w:p>
        <w:p w14:paraId="5BB72EFA" w14:textId="77777777" w:rsidR="00810A76" w:rsidRDefault="00810A76" w:rsidP="00830B0F">
          <w:pPr>
            <w:spacing w:line="360" w:lineRule="auto"/>
            <w:jc w:val="right"/>
            <w:rPr>
              <w:rFonts w:ascii="Arial" w:hAnsi="Arial" w:cs="Arial"/>
            </w:rPr>
          </w:pPr>
        </w:p>
        <w:p w14:paraId="1D9212CD" w14:textId="77777777" w:rsidR="00810A76" w:rsidRDefault="00810A76" w:rsidP="00830B0F">
          <w:pPr>
            <w:spacing w:line="360" w:lineRule="auto"/>
            <w:jc w:val="right"/>
            <w:rPr>
              <w:rFonts w:ascii="Arial" w:hAnsi="Arial" w:cs="Arial"/>
            </w:rPr>
          </w:pPr>
        </w:p>
        <w:p w14:paraId="07E7FE1F" w14:textId="77777777" w:rsidR="00810A76" w:rsidRDefault="00810A76" w:rsidP="00830B0F">
          <w:pPr>
            <w:spacing w:line="360" w:lineRule="auto"/>
            <w:jc w:val="right"/>
            <w:rPr>
              <w:rFonts w:ascii="Arial" w:hAnsi="Arial" w:cs="Arial"/>
            </w:rPr>
          </w:pPr>
        </w:p>
        <w:p w14:paraId="6A0C8EDA" w14:textId="77777777" w:rsidR="00810A76" w:rsidRDefault="00810A76" w:rsidP="00830B0F">
          <w:pPr>
            <w:spacing w:line="360" w:lineRule="auto"/>
            <w:jc w:val="right"/>
            <w:rPr>
              <w:rFonts w:ascii="Arial" w:hAnsi="Arial" w:cs="Arial"/>
            </w:rPr>
          </w:pPr>
        </w:p>
        <w:p w14:paraId="49E020CE" w14:textId="1FB2FB8B" w:rsidR="00D1201B" w:rsidRDefault="00D1201B" w:rsidP="004A4371">
          <w:pPr>
            <w:pStyle w:val="Ttulo1"/>
            <w:jc w:val="both"/>
            <w:rPr>
              <w:sz w:val="24"/>
            </w:rPr>
          </w:pPr>
          <w:bookmarkStart w:id="10" w:name="_Toc90995809"/>
          <w:r w:rsidRPr="009D5257">
            <w:rPr>
              <w:sz w:val="24"/>
            </w:rPr>
            <w:t>PLAN DE DEARROLLO DEL ESTADO DE MÉXICO.2017-2023.</w:t>
          </w:r>
          <w:bookmarkEnd w:id="10"/>
        </w:p>
        <w:p w14:paraId="3068BCAB" w14:textId="77777777" w:rsidR="009D5257" w:rsidRPr="009D5257" w:rsidRDefault="009D5257" w:rsidP="00830B0F">
          <w:pPr>
            <w:jc w:val="right"/>
          </w:pPr>
        </w:p>
        <w:p w14:paraId="36575228" w14:textId="65CB4785" w:rsidR="00D1201B" w:rsidRPr="00D1201B" w:rsidRDefault="00D1201B" w:rsidP="004A4371">
          <w:pPr>
            <w:spacing w:line="360" w:lineRule="auto"/>
            <w:jc w:val="both"/>
            <w:rPr>
              <w:rFonts w:ascii="Arial" w:hAnsi="Arial" w:cs="Arial"/>
            </w:rPr>
          </w:pPr>
          <w:r w:rsidRPr="00D1201B">
            <w:rPr>
              <w:rFonts w:ascii="Arial" w:hAnsi="Arial" w:cs="Arial"/>
            </w:rPr>
            <w:t>E</w:t>
          </w:r>
          <w:r>
            <w:rPr>
              <w:rFonts w:ascii="Arial" w:hAnsi="Arial" w:cs="Arial"/>
            </w:rPr>
            <w:t xml:space="preserve">s el </w:t>
          </w:r>
          <w:r w:rsidRPr="00D1201B">
            <w:rPr>
              <w:rFonts w:ascii="Arial" w:hAnsi="Arial" w:cs="Arial"/>
            </w:rPr>
            <w:t>resultado de un esfuerzo plural e incluyente, en el que la sociedad mexiquense participó con corresponsabilidad en la toma de decisiones y en la construcción del porvenir que queremos para nuestras familias. Este plan de desarrollo tiene pilares fundamentales: de seguridad, social, económico y territorial.</w:t>
          </w:r>
          <w:r w:rsidR="00810A76" w:rsidRPr="00810A76">
            <w:rPr>
              <w:rFonts w:ascii="Arial" w:hAnsi="Arial" w:cs="Arial"/>
              <w:noProof/>
              <w:lang w:eastAsia="es-MX"/>
            </w:rPr>
            <w:t xml:space="preserve"> </w:t>
          </w:r>
          <w:r w:rsidR="00810A76">
            <w:rPr>
              <w:rFonts w:ascii="Arial" w:hAnsi="Arial" w:cs="Arial"/>
              <w:noProof/>
              <w:lang w:eastAsia="es-MX"/>
            </w:rPr>
            <w:drawing>
              <wp:anchor distT="0" distB="0" distL="114300" distR="114300" simplePos="0" relativeHeight="251677696" behindDoc="0" locked="0" layoutInCell="1" allowOverlap="1" wp14:anchorId="0543E7F3" wp14:editId="19261A4A">
                <wp:simplePos x="0" y="0"/>
                <wp:positionH relativeFrom="margin">
                  <wp:posOffset>3051810</wp:posOffset>
                </wp:positionH>
                <wp:positionV relativeFrom="margin">
                  <wp:posOffset>1767205</wp:posOffset>
                </wp:positionV>
                <wp:extent cx="2672715" cy="34556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715"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7A1C5" w14:textId="77777777" w:rsidR="00D1201B" w:rsidRPr="00D1201B" w:rsidRDefault="00D1201B" w:rsidP="004A4371">
          <w:pPr>
            <w:spacing w:line="360" w:lineRule="auto"/>
            <w:jc w:val="both"/>
            <w:rPr>
              <w:rFonts w:ascii="Arial" w:hAnsi="Arial" w:cs="Arial"/>
            </w:rPr>
          </w:pPr>
          <w:r w:rsidRPr="00D1201B">
            <w:rPr>
              <w:rFonts w:ascii="Arial" w:hAnsi="Arial" w:cs="Arial"/>
            </w:rPr>
            <w:t>En cabal congruencia con lo expresado, el marco jurídico del Estado de México sitúa -desde su Constitución Política- al Plan de Desarrollo como base de la planeación democrática, integrado por planes y programas formulados por las autoridades estatales y locales, además de la participación activa de la sociedad. Estos planes y programas se basan, principalmente, en la realidad objetiva, los indicadores de desarrollo social y humano, la proyección genérica de los objetivos que regirán el ejercicio de las funciones públicas, así como en su control y evaluación. Lo anterior en estricto apego a la propia normatividad y a los planes y programas federales, estatales, regionales y metropolitanos, en su caso.</w:t>
          </w:r>
        </w:p>
        <w:p w14:paraId="0D05E939" w14:textId="72DCAFD9" w:rsidR="00D1201B" w:rsidRDefault="00D1201B" w:rsidP="00830B0F">
          <w:pPr>
            <w:spacing w:line="360" w:lineRule="auto"/>
            <w:jc w:val="right"/>
            <w:rPr>
              <w:noProof/>
            </w:rPr>
          </w:pPr>
          <w:r>
            <w:rPr>
              <w:noProof/>
              <w:lang w:eastAsia="es-MX"/>
            </w:rPr>
            <w:drawing>
              <wp:inline distT="0" distB="0" distL="0" distR="0" wp14:anchorId="480A84A1" wp14:editId="72FA732E">
                <wp:extent cx="5644653" cy="39265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736" t="28542" r="12377" b="15769"/>
                        <a:stretch/>
                      </pic:blipFill>
                      <pic:spPr bwMode="auto">
                        <a:xfrm>
                          <a:off x="0" y="0"/>
                          <a:ext cx="5660657" cy="3937674"/>
                        </a:xfrm>
                        <a:prstGeom prst="rect">
                          <a:avLst/>
                        </a:prstGeom>
                        <a:ln>
                          <a:noFill/>
                        </a:ln>
                        <a:extLst>
                          <a:ext uri="{53640926-AAD7-44D8-BBD7-CCE9431645EC}">
                            <a14:shadowObscured xmlns:a14="http://schemas.microsoft.com/office/drawing/2010/main"/>
                          </a:ext>
                        </a:extLst>
                      </pic:spPr>
                    </pic:pic>
                  </a:graphicData>
                </a:graphic>
              </wp:inline>
            </w:drawing>
          </w:r>
        </w:p>
        <w:p w14:paraId="17530A40" w14:textId="77777777" w:rsidR="00D1201B" w:rsidRDefault="00D1201B" w:rsidP="00830B0F">
          <w:pPr>
            <w:spacing w:line="360" w:lineRule="auto"/>
            <w:jc w:val="right"/>
            <w:rPr>
              <w:noProof/>
            </w:rPr>
          </w:pPr>
        </w:p>
        <w:p w14:paraId="348CB9DD" w14:textId="77777777" w:rsidR="00E642E2" w:rsidRPr="00E642E2" w:rsidRDefault="00E642E2" w:rsidP="004A4371">
          <w:pPr>
            <w:spacing w:line="360" w:lineRule="auto"/>
            <w:jc w:val="both"/>
            <w:rPr>
              <w:rFonts w:ascii="Arial" w:hAnsi="Arial" w:cs="Arial"/>
              <w:i/>
              <w:sz w:val="14"/>
            </w:rPr>
          </w:pPr>
          <w:r w:rsidRPr="00E642E2">
            <w:rPr>
              <w:i/>
              <w:sz w:val="14"/>
            </w:rPr>
            <w:t xml:space="preserve">Elaboración propia con datos de </w:t>
          </w:r>
          <w:hyperlink r:id="rId30" w:history="1">
            <w:r w:rsidRPr="00E642E2">
              <w:rPr>
                <w:rStyle w:val="Hipervnculo"/>
                <w:rFonts w:ascii="Arial" w:hAnsi="Arial" w:cs="Arial"/>
                <w:i/>
                <w:color w:val="auto"/>
                <w:sz w:val="14"/>
                <w:u w:val="none"/>
              </w:rPr>
              <w:t>https://transparenciafiscal.edomex.gob.mx/sites/transparenciafiscal.edomex.gob.mx/files/files/pdf/rendicion-cuentas/cuenta-publica-2020/TomoI/1-Cumplimiento-Disposiciones-Legales.pdf</w:t>
            </w:r>
          </w:hyperlink>
        </w:p>
        <w:p w14:paraId="36D0DD57" w14:textId="455A5985" w:rsidR="00D1201B" w:rsidRDefault="00D1201B" w:rsidP="00830B0F">
          <w:pPr>
            <w:spacing w:line="360" w:lineRule="auto"/>
            <w:jc w:val="right"/>
          </w:pPr>
        </w:p>
        <w:p w14:paraId="20AF588E" w14:textId="7E08355C" w:rsidR="009C5DCA" w:rsidRPr="00E8353A" w:rsidRDefault="00695E30" w:rsidP="000A62C4">
          <w:pPr>
            <w:pStyle w:val="Ttulo2"/>
            <w:jc w:val="both"/>
            <w:rPr>
              <w:sz w:val="32"/>
              <w:szCs w:val="32"/>
            </w:rPr>
          </w:pPr>
          <w:r>
            <w:br w:type="page"/>
          </w:r>
          <w:bookmarkStart w:id="11" w:name="_Toc90995810"/>
          <w:r w:rsidR="009C5DCA" w:rsidRPr="009C5DCA">
            <w:t>PILAR SOCIAL.</w:t>
          </w:r>
          <w:bookmarkEnd w:id="11"/>
        </w:p>
        <w:p w14:paraId="28D7ABCB" w14:textId="7A777081" w:rsidR="009C5DCA" w:rsidRDefault="00E8353A" w:rsidP="00830B0F">
          <w:pPr>
            <w:jc w:val="right"/>
            <w:rPr>
              <w:noProof/>
            </w:rPr>
          </w:pPr>
          <w:r>
            <w:rPr>
              <w:noProof/>
              <w:lang w:eastAsia="es-MX"/>
            </w:rPr>
            <w:drawing>
              <wp:anchor distT="0" distB="0" distL="114300" distR="114300" simplePos="0" relativeHeight="251664384" behindDoc="0" locked="0" layoutInCell="1" allowOverlap="1" wp14:anchorId="0C435E93" wp14:editId="45D39D11">
                <wp:simplePos x="0" y="0"/>
                <wp:positionH relativeFrom="margin">
                  <wp:posOffset>-408305</wp:posOffset>
                </wp:positionH>
                <wp:positionV relativeFrom="margin">
                  <wp:posOffset>566420</wp:posOffset>
                </wp:positionV>
                <wp:extent cx="3287395" cy="2500630"/>
                <wp:effectExtent l="0" t="0" r="8255" b="0"/>
                <wp:wrapSquare wrapText="bothSides"/>
                <wp:docPr id="13" name="Imagen 13" descr="5 errores que debes evitar al conformar una soc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errores que debes evitar al conformar una socieda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715" b="18208"/>
                        <a:stretch/>
                      </pic:blipFill>
                      <pic:spPr bwMode="auto">
                        <a:xfrm>
                          <a:off x="0" y="0"/>
                          <a:ext cx="3287395" cy="250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B10ACD" w14:textId="77777777" w:rsidR="00E8353A" w:rsidRPr="00E4183D" w:rsidRDefault="00E8353A" w:rsidP="00462C77">
          <w:pPr>
            <w:spacing w:line="360" w:lineRule="auto"/>
            <w:jc w:val="both"/>
            <w:rPr>
              <w:rFonts w:ascii="Arial" w:hAnsi="Arial" w:cs="Arial"/>
            </w:rPr>
          </w:pPr>
          <w:r w:rsidRPr="00E4183D">
            <w:rPr>
              <w:rFonts w:ascii="Arial" w:hAnsi="Arial" w:cs="Arial"/>
            </w:rPr>
            <w:t>El Gobierno del Estado de México considera prioritario desarrollar y conservar familias fuertes, promover el empleo y proteger el ingreso, particularmente el de las mujeres. Estas metas implican que las familias, sin importar su origen social y estatus económico puedan satisfacer sus necesidades básicas y mejorar su calidad de vida.</w:t>
          </w:r>
        </w:p>
        <w:p w14:paraId="62F83CA0" w14:textId="77777777" w:rsidR="00E8353A" w:rsidRPr="00E4183D" w:rsidRDefault="00E8353A" w:rsidP="00462C77">
          <w:pPr>
            <w:spacing w:line="360" w:lineRule="auto"/>
            <w:jc w:val="both"/>
            <w:rPr>
              <w:rFonts w:ascii="Arial" w:hAnsi="Arial" w:cs="Arial"/>
            </w:rPr>
          </w:pPr>
          <w:r>
            <w:rPr>
              <w:rFonts w:ascii="Arial" w:hAnsi="Arial" w:cs="Arial"/>
            </w:rPr>
            <w:t>E</w:t>
          </w:r>
          <w:r w:rsidRPr="00E4183D">
            <w:rPr>
              <w:rFonts w:ascii="Arial" w:hAnsi="Arial" w:cs="Arial"/>
            </w:rPr>
            <w:t>l Estado de México ocupa el décimo segundo lugar entre las entidades federativas con mayor número de habitantes en situación de pobreza y pobreza extrema a nivel nacional.</w:t>
          </w:r>
          <w:r w:rsidRPr="00E4183D">
            <w:rPr>
              <w:rStyle w:val="Refdenotaalpie"/>
              <w:rFonts w:ascii="Arial" w:hAnsi="Arial" w:cs="Arial"/>
            </w:rPr>
            <w:footnoteReference w:id="2"/>
          </w:r>
        </w:p>
        <w:p w14:paraId="683AC461" w14:textId="77777777" w:rsidR="00E8353A" w:rsidRPr="00E4183D" w:rsidRDefault="00E8353A" w:rsidP="00462C77">
          <w:pPr>
            <w:spacing w:line="360" w:lineRule="auto"/>
            <w:jc w:val="both"/>
            <w:rPr>
              <w:rFonts w:ascii="Arial" w:hAnsi="Arial" w:cs="Arial"/>
            </w:rPr>
          </w:pPr>
          <w:r w:rsidRPr="00E4183D">
            <w:rPr>
              <w:rFonts w:ascii="Arial" w:hAnsi="Arial" w:cs="Arial"/>
            </w:rPr>
            <w:t>En lo que respecta a las carencias sociales en el Estado de México, éstas han disminuido en los últimos años, sin embargo, existen algunos casos que merecen especial atención, como el acceso a la seguridad social.</w:t>
          </w:r>
        </w:p>
        <w:p w14:paraId="318C998D" w14:textId="77777777" w:rsidR="00E8353A" w:rsidRPr="00E4183D" w:rsidRDefault="00E8353A" w:rsidP="00462C77">
          <w:pPr>
            <w:spacing w:line="360" w:lineRule="auto"/>
            <w:jc w:val="both"/>
            <w:rPr>
              <w:rFonts w:ascii="Arial" w:hAnsi="Arial" w:cs="Arial"/>
            </w:rPr>
          </w:pPr>
          <w:r w:rsidRPr="00E4183D">
            <w:rPr>
              <w:rFonts w:ascii="Arial" w:hAnsi="Arial" w:cs="Arial"/>
            </w:rPr>
            <w:t>La segunda carencia más importante es el acceso a la alimentación, debido principalmente a que niñas y niños presentan una inadecuada ingesta de alimentos por prácticas inapropiadas de alimentación y dieta.</w:t>
          </w:r>
          <w:r w:rsidRPr="00E4183D">
            <w:rPr>
              <w:rStyle w:val="Refdenotaalpie"/>
              <w:rFonts w:ascii="Arial" w:hAnsi="Arial" w:cs="Arial"/>
            </w:rPr>
            <w:footnoteReference w:id="3"/>
          </w:r>
        </w:p>
        <w:p w14:paraId="5AEE646E" w14:textId="0443E933" w:rsidR="00695E30" w:rsidRPr="00E8353A" w:rsidRDefault="00E8353A" w:rsidP="00462C77">
          <w:pPr>
            <w:shd w:val="clear" w:color="auto" w:fill="FFFFFF" w:themeFill="background1"/>
            <w:spacing w:line="360" w:lineRule="auto"/>
            <w:jc w:val="both"/>
            <w:rPr>
              <w:rFonts w:ascii="Arial" w:hAnsi="Arial" w:cs="Arial"/>
            </w:rPr>
          </w:pPr>
          <w:r w:rsidRPr="00E4183D">
            <w:rPr>
              <w:rFonts w:ascii="Arial" w:hAnsi="Arial" w:cs="Arial"/>
            </w:rPr>
            <w:t>Ante la presencia de hogares con inseguridad alimentaria, es de suma importancia colocar en la agenda de la política pública estrategias que hagan efectivo el cumplimiento del derecho a la alimentación de la población mexiquense, especialmente entre los que se encuentran en inseguridad alimentaria moderada y severa.</w:t>
          </w:r>
        </w:p>
        <w:p w14:paraId="76597BB1" w14:textId="0F271EFA" w:rsidR="00695E30" w:rsidRDefault="00E8353A" w:rsidP="00830B0F">
          <w:pPr>
            <w:jc w:val="right"/>
            <w:rPr>
              <w:rFonts w:asciiTheme="majorHAnsi" w:eastAsiaTheme="majorEastAsia" w:hAnsiTheme="majorHAnsi" w:cstheme="majorBidi"/>
              <w:color w:val="2F5496" w:themeColor="accent1" w:themeShade="BF"/>
              <w:sz w:val="32"/>
              <w:szCs w:val="32"/>
            </w:rPr>
          </w:pPr>
          <w:r>
            <w:rPr>
              <w:rFonts w:ascii="Arial" w:hAnsi="Arial" w:cs="Arial"/>
              <w:noProof/>
              <w:lang w:eastAsia="es-MX"/>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2">
                <w:drawing>
                  <wp:inline distT="0" distB="0" distL="0" distR="0" wp14:anchorId="01A8B996" wp14:editId="2E2B8243">
                    <wp:extent cx="5459506" cy="2272553"/>
                    <wp:effectExtent l="0" t="0" r="8255" b="13970"/>
                    <wp:docPr id="14" name="Gráfico 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01A8B996" wp14:editId="2E2B8243">
                    <wp:extent cx="5459506" cy="2272553"/>
                    <wp:effectExtent l="0" t="0" r="8255" b="13970"/>
                    <wp:docPr id="14" name="Gráfico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Gráfico 14"/>
                            <pic:cNvPicPr>
                              <a:picLocks noGrp="1" noRot="1" noChangeAspect="1" noMove="1" noResize="1" noEditPoints="1" noAdjustHandles="1" noChangeArrowheads="1" noChangeShapeType="1"/>
                            </pic:cNvPicPr>
                          </pic:nvPicPr>
                          <pic:blipFill>
                            <a:blip r:embed="rId35"/>
                            <a:stretch>
                              <a:fillRect/>
                            </a:stretch>
                          </pic:blipFill>
                          <pic:spPr>
                            <a:xfrm>
                              <a:off x="0" y="0"/>
                              <a:ext cx="5459095" cy="2272030"/>
                            </a:xfrm>
                            <a:prstGeom prst="rect">
                              <a:avLst/>
                            </a:prstGeom>
                          </pic:spPr>
                        </pic:pic>
                      </a:graphicData>
                    </a:graphic>
                  </wp:inline>
                </w:drawing>
              </mc:Fallback>
            </mc:AlternateContent>
          </w:r>
        </w:p>
        <w:p w14:paraId="7ABFDF5A" w14:textId="08FAF5C0" w:rsidR="00E8353A" w:rsidRDefault="00E8353A" w:rsidP="00830B0F">
          <w:pPr>
            <w:spacing w:line="360" w:lineRule="auto"/>
            <w:jc w:val="right"/>
            <w:rPr>
              <w:rFonts w:ascii="Arial" w:hAnsi="Arial" w:cs="Arial"/>
            </w:rPr>
          </w:pPr>
          <w:r>
            <w:rPr>
              <w:rFonts w:ascii="Arial" w:hAnsi="Arial" w:cs="Arial"/>
            </w:rPr>
            <w:t>Elaborado por cuenta propia de acuerdo al Plan de D</w:t>
          </w:r>
          <w:r w:rsidR="00462C77">
            <w:rPr>
              <w:rFonts w:ascii="Arial" w:hAnsi="Arial" w:cs="Arial"/>
            </w:rPr>
            <w:t xml:space="preserve">esarrollo Estado de </w:t>
          </w:r>
          <w:r>
            <w:rPr>
              <w:rFonts w:ascii="Arial" w:hAnsi="Arial" w:cs="Arial"/>
            </w:rPr>
            <w:t>Méx</w:t>
          </w:r>
          <w:r w:rsidR="00462C77">
            <w:rPr>
              <w:rFonts w:ascii="Arial" w:hAnsi="Arial" w:cs="Arial"/>
            </w:rPr>
            <w:t>ico</w:t>
          </w:r>
          <w:r>
            <w:rPr>
              <w:rFonts w:ascii="Arial" w:hAnsi="Arial" w:cs="Arial"/>
            </w:rPr>
            <w:t>. 2017-2023.</w:t>
          </w:r>
        </w:p>
        <w:p w14:paraId="4CAA5EDA" w14:textId="77777777" w:rsidR="00E8353A" w:rsidRDefault="00E8353A" w:rsidP="00462C77">
          <w:pPr>
            <w:spacing w:line="360" w:lineRule="auto"/>
            <w:jc w:val="both"/>
            <w:rPr>
              <w:rFonts w:ascii="Arial" w:hAnsi="Arial" w:cs="Arial"/>
            </w:rPr>
          </w:pPr>
          <w:r w:rsidRPr="00E4183D">
            <w:rPr>
              <w:rFonts w:ascii="Arial" w:hAnsi="Arial" w:cs="Arial"/>
            </w:rPr>
            <w:t>La pobreza, el hambre, la falta de acceso a la salud y a una vivienda digna, limitan el mejoramiento de la calidad de vida por lo que, al instrumentarse las siguientes estrategias para reducir la pobreza, el Gobierno del Estado de México, refuerza su compromiso con el cumplimiento de las metas de la Agenda 2030.</w:t>
          </w:r>
        </w:p>
        <w:p w14:paraId="3F05AAF6" w14:textId="41845325" w:rsidR="00E8353A" w:rsidRDefault="00E8353A" w:rsidP="007C2B2F">
          <w:pPr>
            <w:spacing w:line="360" w:lineRule="auto"/>
            <w:jc w:val="both"/>
            <w:rPr>
              <w:rFonts w:ascii="Arial" w:hAnsi="Arial" w:cs="Arial"/>
            </w:rPr>
          </w:pPr>
          <w:r>
            <w:rPr>
              <w:rFonts w:ascii="Arial" w:hAnsi="Arial" w:cs="Arial"/>
            </w:rPr>
            <w:t>De acuerdo a una encuesta realizada, se obtuvo que los grupos más vulnerables en el Estado de México son:</w:t>
          </w:r>
        </w:p>
        <w:p w14:paraId="0651669B" w14:textId="06BA7369" w:rsidR="001223DD" w:rsidRDefault="001223DD" w:rsidP="00302D5D">
          <w:pPr>
            <w:pStyle w:val="Ttulo3"/>
            <w:jc w:val="both"/>
          </w:pPr>
          <w:bookmarkStart w:id="12" w:name="_Toc90995811"/>
          <w:r w:rsidRPr="001223DD">
            <w:t>EDUCACIÓN.</w:t>
          </w:r>
          <w:bookmarkEnd w:id="12"/>
          <w:r w:rsidRPr="001223DD">
            <w:t xml:space="preserve"> </w:t>
          </w:r>
        </w:p>
        <w:p w14:paraId="66212093" w14:textId="1FEBA163" w:rsidR="00810A76" w:rsidRPr="001223DD" w:rsidRDefault="00810A76" w:rsidP="00830B0F">
          <w:pPr>
            <w:spacing w:line="360" w:lineRule="auto"/>
            <w:jc w:val="right"/>
            <w:rPr>
              <w:rFonts w:ascii="Arial" w:hAnsi="Arial" w:cs="Arial"/>
              <w:color w:val="2F5496" w:themeColor="accent1" w:themeShade="BF"/>
              <w:sz w:val="22"/>
              <w:szCs w:val="22"/>
            </w:rPr>
          </w:pPr>
          <w:r>
            <w:rPr>
              <w:rFonts w:ascii="Arial" w:hAnsi="Arial" w:cs="Arial"/>
              <w:noProof/>
              <w:lang w:eastAsia="es-MX"/>
            </w:rPr>
            <w:drawing>
              <wp:inline distT="0" distB="0" distL="0" distR="0" wp14:anchorId="2D9B21B7" wp14:editId="3AB88D47">
                <wp:extent cx="5612130" cy="1368036"/>
                <wp:effectExtent l="0" t="0" r="26670" b="381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BDA09B8" w14:textId="355F9B82" w:rsidR="001223DD" w:rsidRPr="001F6E4F" w:rsidRDefault="001223DD" w:rsidP="00583C23">
          <w:pPr>
            <w:spacing w:line="360" w:lineRule="auto"/>
            <w:jc w:val="both"/>
            <w:rPr>
              <w:rFonts w:ascii="Arial" w:hAnsi="Arial" w:cs="Arial"/>
            </w:rPr>
          </w:pPr>
          <w:r w:rsidRPr="001F6E4F">
            <w:rPr>
              <w:rFonts w:ascii="Arial" w:hAnsi="Arial" w:cs="Arial"/>
            </w:rPr>
            <w:t>Debido a la propagación del SARS-COV-2 a nivel mundial, la educación formal se vio forzada a abandonar las aulas y trasladarse al mundo digital, a la televisión o a la radio. Durante el periodo materia de este Cuarto Informe, se atendió una población de 405 mil 798 alumnos con 17 mil 917 docentes de 4 mil 700 escuelas.</w:t>
          </w:r>
        </w:p>
        <w:p w14:paraId="76B3C7A2" w14:textId="525F4BF9" w:rsidR="001223DD" w:rsidRPr="001F6E4F" w:rsidRDefault="001223DD" w:rsidP="00583C23">
          <w:pPr>
            <w:spacing w:line="360" w:lineRule="auto"/>
            <w:jc w:val="both"/>
            <w:rPr>
              <w:rFonts w:ascii="Arial" w:hAnsi="Arial" w:cs="Arial"/>
            </w:rPr>
          </w:pPr>
          <w:r>
            <w:rPr>
              <w:rFonts w:ascii="Arial" w:hAnsi="Arial" w:cs="Arial"/>
              <w:noProof/>
              <w:color w:val="2F5496" w:themeColor="accent1" w:themeShade="BF"/>
              <w:sz w:val="22"/>
              <w:szCs w:val="22"/>
              <w:lang w:eastAsia="es-MX"/>
            </w:rPr>
            <w:drawing>
              <wp:anchor distT="0" distB="0" distL="114300" distR="114300" simplePos="0" relativeHeight="251665408" behindDoc="0" locked="0" layoutInCell="1" allowOverlap="1" wp14:anchorId="2B2A4CF4" wp14:editId="290B5167">
                <wp:simplePos x="0" y="0"/>
                <wp:positionH relativeFrom="margin">
                  <wp:posOffset>-4445</wp:posOffset>
                </wp:positionH>
                <wp:positionV relativeFrom="margin">
                  <wp:posOffset>1736090</wp:posOffset>
                </wp:positionV>
                <wp:extent cx="3794760" cy="2621915"/>
                <wp:effectExtent l="0" t="0" r="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476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E4F">
            <w:rPr>
              <w:rFonts w:ascii="Arial" w:hAnsi="Arial" w:cs="Arial"/>
            </w:rPr>
            <w:t>La educación enaltece y dignifica a las personas. Una educación de calidad coadyuva al bienestar de las familias y es el motor de crecimiento económico y desarrollo social, se define como la formación continua de habilidades, destrezas y aprendizajes del individuo que comienzan desde la primera infancia y continúan durante toda la vida.</w:t>
          </w:r>
        </w:p>
        <w:p w14:paraId="69FE925A" w14:textId="0A5DFA7D" w:rsidR="001223DD" w:rsidRPr="001F6E4F" w:rsidRDefault="001223DD" w:rsidP="00583C23">
          <w:pPr>
            <w:spacing w:line="360" w:lineRule="auto"/>
            <w:jc w:val="both"/>
            <w:rPr>
              <w:rFonts w:ascii="Arial" w:hAnsi="Arial" w:cs="Arial"/>
            </w:rPr>
          </w:pPr>
          <w:r w:rsidRPr="001F6E4F">
            <w:rPr>
              <w:rFonts w:ascii="Arial" w:hAnsi="Arial" w:cs="Arial"/>
            </w:rPr>
            <w:t>El principal reto para incrementar la cobertura en los tipos medio superior y superior es contar con los espacios educativos suficientes para la atención de los jóvenes, así como innovar y diversificar la oferta educativa, fortaleciendo la modalidad a distancia e impulsando acciones que permitan el acceso a becas y convenios estratégicos para apoyar el ingreso y la permanencia en la educación media superior y superior.</w:t>
          </w:r>
        </w:p>
        <w:p w14:paraId="66417450" w14:textId="254B7E1F" w:rsidR="001223DD" w:rsidRDefault="001223DD" w:rsidP="00583C23">
          <w:pPr>
            <w:spacing w:line="360" w:lineRule="auto"/>
            <w:jc w:val="both"/>
            <w:rPr>
              <w:rFonts w:ascii="Arial" w:hAnsi="Arial" w:cs="Arial"/>
            </w:rPr>
          </w:pPr>
          <w:r w:rsidRPr="001F6E4F">
            <w:rPr>
              <w:rFonts w:ascii="Arial" w:hAnsi="Arial" w:cs="Arial"/>
            </w:rPr>
            <w:t xml:space="preserve">Los principales problemas y/o retos a los que los estudiantes se enfrentaron a la educación durante y post- pandemia fueron los siguientes: </w:t>
          </w:r>
        </w:p>
        <w:p w14:paraId="5C32318B" w14:textId="323EA121" w:rsidR="001223DD" w:rsidRDefault="001223DD" w:rsidP="00830B0F">
          <w:pPr>
            <w:spacing w:line="360" w:lineRule="auto"/>
            <w:jc w:val="right"/>
            <w:rPr>
              <w:rFonts w:ascii="Arial" w:hAnsi="Arial" w:cs="Arial"/>
            </w:rPr>
          </w:pPr>
          <w:r>
            <w:rPr>
              <w:noProof/>
              <w:lang w:eastAsia="es-MX"/>
            </w:rPr>
            <w:drawing>
              <wp:inline distT="0" distB="0" distL="0" distR="0" wp14:anchorId="78ED0AD2" wp14:editId="75C3371A">
                <wp:extent cx="5540188" cy="3652520"/>
                <wp:effectExtent l="0" t="19050" r="0" b="2413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7B8381F" w14:textId="630F43EE" w:rsidR="001223DD" w:rsidRDefault="001223DD" w:rsidP="00583C23">
          <w:pPr>
            <w:spacing w:line="360" w:lineRule="auto"/>
            <w:jc w:val="center"/>
            <w:rPr>
              <w:rFonts w:ascii="Arial" w:hAnsi="Arial" w:cs="Arial"/>
            </w:rPr>
          </w:pPr>
          <w:r>
            <w:rPr>
              <w:rFonts w:ascii="Arial" w:hAnsi="Arial" w:cs="Arial"/>
            </w:rPr>
            <w:t>ELABORACIÓN PROPIA.</w:t>
          </w:r>
        </w:p>
        <w:p w14:paraId="27FE2464" w14:textId="77777777" w:rsidR="001223DD" w:rsidRPr="001F6E4F" w:rsidRDefault="001223DD" w:rsidP="00583C23">
          <w:pPr>
            <w:spacing w:line="360" w:lineRule="auto"/>
            <w:jc w:val="both"/>
            <w:rPr>
              <w:rFonts w:ascii="Arial" w:hAnsi="Arial" w:cs="Arial"/>
            </w:rPr>
          </w:pPr>
          <w:r w:rsidRPr="001F6E4F">
            <w:rPr>
              <w:rFonts w:ascii="Arial" w:hAnsi="Arial" w:cs="Arial"/>
            </w:rPr>
            <w:t xml:space="preserve">Sin duda alguna, la pandemia modificó nuestra manera de vivir, poco a poco nos seguimos adaptando a esta nueva realidad. La educación a distancia tuvo grandes afectaciones, estudiantes, maestros y padres de familia tuvieron que ir implementando este nuevo método de enseñanza, complicado al principio porque algunos alumnos no contaban con el equipo tecnológico para poder estudiar; computadora, celular, internet, etc., aunado a que no se dio un curso para los docentes para saber tratar la situación, inestabilidades, una nueva manera de aprender. Actualmente se ha implementado el modelo de enseñanza híbrido y/o mixto. El gobierno debe tomar las medidas necesarias para que la educación siga siendo efectiva y con las mismas oportunidades para el crecimiento social. </w:t>
          </w:r>
        </w:p>
        <w:p w14:paraId="5BC6EB97" w14:textId="7C19765C" w:rsidR="001223DD" w:rsidRDefault="001223DD" w:rsidP="00320F29">
          <w:pPr>
            <w:spacing w:line="360" w:lineRule="auto"/>
            <w:jc w:val="both"/>
            <w:rPr>
              <w:rFonts w:ascii="Arial" w:hAnsi="Arial" w:cs="Arial"/>
            </w:rPr>
          </w:pPr>
          <w:r w:rsidRPr="001F6E4F">
            <w:rPr>
              <w:rFonts w:ascii="Arial" w:hAnsi="Arial" w:cs="Arial"/>
            </w:rPr>
            <w:t xml:space="preserve">La educación es uno de los factores que más influye en el avance y mejora de las personas, constituye una herramienta de transformación más eficaz que permite promover los valores y derechos humanos para una sociedad más justa y equitativa. </w:t>
          </w:r>
        </w:p>
        <w:p w14:paraId="7948F9D6" w14:textId="46DDCEDF" w:rsidR="001223DD" w:rsidRDefault="001223DD" w:rsidP="00320F29">
          <w:pPr>
            <w:spacing w:line="276" w:lineRule="auto"/>
            <w:jc w:val="center"/>
            <w:rPr>
              <w:rFonts w:ascii="Arial" w:hAnsi="Arial" w:cs="Arial"/>
              <w:b/>
              <w:bCs/>
              <w:color w:val="2F5496" w:themeColor="accent1" w:themeShade="BF"/>
            </w:rPr>
          </w:pPr>
          <w:r w:rsidRPr="00F36600">
            <w:rPr>
              <w:rFonts w:ascii="Arial" w:hAnsi="Arial" w:cs="Arial"/>
              <w:b/>
              <w:bCs/>
              <w:color w:val="2F5496" w:themeColor="accent1" w:themeShade="BF"/>
            </w:rPr>
            <w:t>ACCIONES DE MEJORA PARA LA EDUACIÓN A LOS MEXIQUENSES.</w:t>
          </w:r>
        </w:p>
        <w:p w14:paraId="01CC9026" w14:textId="3937F930" w:rsidR="00810A76" w:rsidRDefault="00810A76" w:rsidP="00830B0F">
          <w:pPr>
            <w:spacing w:line="276" w:lineRule="auto"/>
            <w:jc w:val="right"/>
            <w:rPr>
              <w:rFonts w:ascii="Arial" w:hAnsi="Arial" w:cs="Arial"/>
              <w:b/>
              <w:bCs/>
              <w:color w:val="2F5496" w:themeColor="accent1" w:themeShade="BF"/>
            </w:rPr>
          </w:pPr>
          <w:r w:rsidRPr="00A05845">
            <w:rPr>
              <w:rFonts w:ascii="Arial" w:hAnsi="Arial" w:cs="Arial"/>
              <w:noProof/>
              <w:lang w:eastAsia="es-MX"/>
            </w:rPr>
            <w:drawing>
              <wp:inline distT="0" distB="0" distL="0" distR="0" wp14:anchorId="335F78C9" wp14:editId="1848CFF9">
                <wp:extent cx="5562600" cy="4895850"/>
                <wp:effectExtent l="0" t="0" r="1905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6562258" w14:textId="23B66A8F" w:rsidR="001223DD" w:rsidRPr="00F36600" w:rsidRDefault="001223DD" w:rsidP="00830B0F">
          <w:pPr>
            <w:spacing w:line="276" w:lineRule="auto"/>
            <w:jc w:val="right"/>
            <w:rPr>
              <w:rFonts w:ascii="Arial" w:hAnsi="Arial" w:cs="Arial"/>
              <w:b/>
              <w:bCs/>
              <w:color w:val="2F5496" w:themeColor="accent1" w:themeShade="BF"/>
            </w:rPr>
          </w:pPr>
        </w:p>
        <w:p w14:paraId="3768B707" w14:textId="651522BE" w:rsidR="007754E9" w:rsidRPr="007754E9" w:rsidRDefault="007754E9" w:rsidP="0045420E">
          <w:pPr>
            <w:pStyle w:val="Ttulo3"/>
            <w:jc w:val="both"/>
          </w:pPr>
          <w:bookmarkStart w:id="13" w:name="_Toc90995812"/>
          <w:r w:rsidRPr="007754E9">
            <w:t>SALUD.</w:t>
          </w:r>
          <w:bookmarkEnd w:id="13"/>
        </w:p>
        <w:p w14:paraId="503ABCD6" w14:textId="75862C91" w:rsidR="007754E9" w:rsidRPr="003B0738" w:rsidRDefault="007754E9" w:rsidP="00076087">
          <w:pPr>
            <w:spacing w:line="360" w:lineRule="auto"/>
            <w:jc w:val="both"/>
            <w:rPr>
              <w:rFonts w:ascii="Arial" w:hAnsi="Arial" w:cs="Arial"/>
            </w:rPr>
          </w:pPr>
          <w:r w:rsidRPr="003B0738">
            <w:rPr>
              <w:rFonts w:ascii="Arial" w:hAnsi="Arial" w:cs="Arial"/>
            </w:rPr>
            <w:t>La pandemia afectó a una gran parte de países y los enfrentó a una grave crisis de salud que requirió de fuertes medidas de contención, que impactaron en la economía y en la situación financiera de empresas y gobiernos. Este brote epidemiológico se extendió a un mayor número de países, incluyendo México, y hasta ahora se ha continuado con la implantación de las medidas de confinamiento y distanciamiento social para contener la propagación del virus, pero se han observado afectaciones e impactos muy importantes sobre la actividad económica mundial y los mercados financieros internacionales. Dando lugar a continuas revisiones de las expectativas económicas, las cuales incorporan una fuerte contracción de la actividad productiva en 2020.</w:t>
          </w:r>
        </w:p>
        <w:p w14:paraId="786B3E9F" w14:textId="77777777" w:rsidR="007754E9" w:rsidRPr="003B0738" w:rsidRDefault="007754E9" w:rsidP="00076087">
          <w:pPr>
            <w:spacing w:line="360" w:lineRule="auto"/>
            <w:jc w:val="both"/>
            <w:rPr>
              <w:rFonts w:ascii="Arial" w:hAnsi="Arial" w:cs="Arial"/>
            </w:rPr>
          </w:pPr>
          <w:r w:rsidRPr="003B0738">
            <w:rPr>
              <w:rFonts w:ascii="Arial" w:hAnsi="Arial" w:cs="Arial"/>
            </w:rPr>
            <w:t>Para atenuar los efectos económicos de la pandemia han sido muy importantes los planes de las autoridades monetarias y fiscales, que han instrumentado, mantenido o ampliado con diversas medidas de estímulos para enfrentar los efectos adversos de la crisis sanitaria en hogares y empresas. Por una parte, a partir de marzo de 2020, la mayoría de los bancos centrales de todo el mundo reaccionaron inmediatamente con la reducción de sus tasas de referencia, lo que generó condiciones de mayor liquidez, y para tratar de contrarrestar las presiones inflacionarias contribuyeron en su ámbito a revertir el impacto negativo del entorno económico. Por otra parte, los gobiernos implantaron medidas y programas fiscales de condonación o diferimientos fiscales, y a través de medidas de gasto acelerado que fueron desde transferencias en efectivo, así como el fortalecimiento del gasto en el sector salud e infraestructura física.</w:t>
          </w:r>
        </w:p>
        <w:p w14:paraId="72DB7944" w14:textId="1B159F6B" w:rsidR="007754E9" w:rsidRPr="00EB21EC" w:rsidRDefault="007754E9" w:rsidP="00076087">
          <w:pPr>
            <w:spacing w:line="360" w:lineRule="auto"/>
            <w:jc w:val="both"/>
            <w:rPr>
              <w:rFonts w:ascii="Arial" w:hAnsi="Arial" w:cs="Arial"/>
            </w:rPr>
          </w:pPr>
          <w:r w:rsidRPr="00EB21EC">
            <w:rPr>
              <w:rFonts w:ascii="Arial" w:hAnsi="Arial" w:cs="Arial"/>
            </w:rPr>
            <w:t xml:space="preserve">El acceso a servicios de salud, medicamentos y vacunas, permite construir familias fuertes, ya que facilita su desarrollo pleno y protege a sus integrantes, así como el ingreso familiar ante eventualidades de la salud. Una comunidad sana y protegida puede ser más productiva, tanto en la economía familiar, como en el desarrollo de sus comunidades y su entorno. </w:t>
          </w:r>
        </w:p>
        <w:p w14:paraId="68C809A8" w14:textId="77777777" w:rsidR="007754E9" w:rsidRPr="00EB21EC" w:rsidRDefault="007754E9" w:rsidP="00076087">
          <w:pPr>
            <w:spacing w:line="360" w:lineRule="auto"/>
            <w:jc w:val="both"/>
            <w:rPr>
              <w:rFonts w:ascii="Arial" w:hAnsi="Arial" w:cs="Arial"/>
            </w:rPr>
          </w:pPr>
          <w:r w:rsidRPr="00EB21EC">
            <w:rPr>
              <w:rFonts w:ascii="Arial" w:hAnsi="Arial" w:cs="Arial"/>
            </w:rPr>
            <w:t>La Organización Mundial de la Salud (OMS) señala que México se encuentra entre los tres primeros lugares de obesidad en el mundo, lo que incrementa las muertes prematuras por enfermedades no transmisibles como las cardiovasculares, la diabetes y el cáncer. Dichas enfermedades representan tres de cada cinco defunciones a nivel nacional.</w:t>
          </w:r>
        </w:p>
        <w:p w14:paraId="5D2757DB" w14:textId="77777777" w:rsidR="007754E9" w:rsidRPr="00EB21EC" w:rsidRDefault="007754E9" w:rsidP="00A67609">
          <w:pPr>
            <w:spacing w:line="360" w:lineRule="auto"/>
            <w:jc w:val="both"/>
            <w:rPr>
              <w:rFonts w:ascii="Arial" w:hAnsi="Arial" w:cs="Arial"/>
            </w:rPr>
          </w:pPr>
          <w:r w:rsidRPr="00EB21EC">
            <w:rPr>
              <w:rFonts w:ascii="Arial" w:hAnsi="Arial" w:cs="Arial"/>
            </w:rPr>
            <w:t>El Estado de México requiere mayor atención en el control de la diabetes mellitus y de enfermedades cardiovasculares a causa de la obesidad, registrando 19 mil 608 muertes.</w:t>
          </w:r>
        </w:p>
        <w:p w14:paraId="496266FE" w14:textId="77777777" w:rsidR="007754E9" w:rsidRPr="00EB21EC" w:rsidRDefault="007754E9" w:rsidP="00A67609">
          <w:pPr>
            <w:spacing w:line="360" w:lineRule="auto"/>
            <w:jc w:val="both"/>
            <w:rPr>
              <w:rFonts w:ascii="Arial" w:hAnsi="Arial" w:cs="Arial"/>
            </w:rPr>
          </w:pPr>
          <w:r w:rsidRPr="00EB21EC">
            <w:rPr>
              <w:rFonts w:ascii="Arial" w:hAnsi="Arial" w:cs="Arial"/>
            </w:rPr>
            <w:t>Se han promovido programas de capacitación para el cuidado de la de la salud, se ha buscado reducir la mortalidad por enfermedades cardiovasculares, diabetes y asociadas a la obesidad.</w:t>
          </w:r>
        </w:p>
        <w:p w14:paraId="5F15F078" w14:textId="77777777" w:rsidR="007754E9" w:rsidRPr="00EB21EC" w:rsidRDefault="007754E9" w:rsidP="00A67609">
          <w:pPr>
            <w:spacing w:line="360" w:lineRule="auto"/>
            <w:jc w:val="both"/>
            <w:rPr>
              <w:rFonts w:ascii="Arial" w:hAnsi="Arial" w:cs="Arial"/>
            </w:rPr>
          </w:pPr>
          <w:r w:rsidRPr="00EB21EC">
            <w:rPr>
              <w:rFonts w:ascii="Arial" w:hAnsi="Arial" w:cs="Arial"/>
            </w:rPr>
            <w:t>Fomentar la contratación, desarrollo y capacitación del personal de los servicios de salud.</w:t>
          </w:r>
        </w:p>
        <w:p w14:paraId="67B70F65" w14:textId="77777777" w:rsidR="007754E9" w:rsidRPr="00EB21EC" w:rsidRDefault="007754E9" w:rsidP="00A67609">
          <w:pPr>
            <w:spacing w:line="360" w:lineRule="auto"/>
            <w:jc w:val="both"/>
            <w:rPr>
              <w:rFonts w:ascii="Arial" w:hAnsi="Arial" w:cs="Arial"/>
            </w:rPr>
          </w:pPr>
          <w:r w:rsidRPr="00EB21EC">
            <w:rPr>
              <w:rFonts w:ascii="Arial" w:hAnsi="Arial" w:cs="Arial"/>
            </w:rPr>
            <w:t xml:space="preserve">Las principales causas de muerte en el Estado de México, excluyendo las provocadas por la obesidad son: </w:t>
          </w:r>
        </w:p>
        <w:p w14:paraId="292A61AE" w14:textId="2B9CD719" w:rsidR="007754E9" w:rsidRDefault="007754E9" w:rsidP="00A67609">
          <w:pPr>
            <w:spacing w:line="276" w:lineRule="auto"/>
            <w:jc w:val="both"/>
            <w:rPr>
              <w:rFonts w:ascii="Arial" w:hAnsi="Arial" w:cs="Arial"/>
            </w:rPr>
          </w:pPr>
          <w:r>
            <w:rPr>
              <w:noProof/>
              <w:lang w:eastAsia="es-MX"/>
            </w:rPr>
            <w:drawing>
              <wp:inline distT="0" distB="0" distL="0" distR="0" wp14:anchorId="534754F7" wp14:editId="20ACD8F8">
                <wp:extent cx="5486400" cy="3453205"/>
                <wp:effectExtent l="0" t="0" r="0" b="7112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7754E9">
            <w:rPr>
              <w:rFonts w:ascii="Arial" w:hAnsi="Arial" w:cs="Arial"/>
            </w:rPr>
            <w:t>Fuente: IGECEM con información de la Secretaría de Salud. Sistema Nacional de Información en Salud (SINAIS), 2017.</w:t>
          </w:r>
        </w:p>
        <w:p w14:paraId="3AF4A024" w14:textId="55B0588C" w:rsidR="007754E9" w:rsidRDefault="007754E9" w:rsidP="00830B0F">
          <w:pPr>
            <w:spacing w:line="276" w:lineRule="auto"/>
            <w:jc w:val="right"/>
            <w:rPr>
              <w:rFonts w:ascii="Arial" w:hAnsi="Arial" w:cs="Arial"/>
            </w:rPr>
          </w:pPr>
        </w:p>
        <w:p w14:paraId="6941DA09" w14:textId="1E5669AE" w:rsidR="007754E9" w:rsidRDefault="007754E9" w:rsidP="00830B0F">
          <w:pPr>
            <w:spacing w:line="276" w:lineRule="auto"/>
            <w:jc w:val="right"/>
            <w:rPr>
              <w:rFonts w:ascii="Arial" w:hAnsi="Arial" w:cs="Arial"/>
            </w:rPr>
          </w:pPr>
        </w:p>
        <w:p w14:paraId="74210CF4" w14:textId="77777777" w:rsidR="007754E9" w:rsidRDefault="007754E9" w:rsidP="00830B0F">
          <w:pPr>
            <w:spacing w:line="276" w:lineRule="auto"/>
            <w:jc w:val="right"/>
            <w:rPr>
              <w:rFonts w:ascii="Arial" w:hAnsi="Arial" w:cs="Arial"/>
            </w:rPr>
          </w:pPr>
        </w:p>
        <w:p w14:paraId="0C475C28" w14:textId="7DA0DEE8" w:rsidR="007754E9" w:rsidRDefault="007754E9" w:rsidP="00047106">
          <w:pPr>
            <w:spacing w:line="360" w:lineRule="auto"/>
            <w:jc w:val="both"/>
            <w:rPr>
              <w:rFonts w:ascii="Arial" w:hAnsi="Arial" w:cs="Arial"/>
            </w:rPr>
          </w:pPr>
          <w:r>
            <w:rPr>
              <w:rFonts w:ascii="Arial" w:hAnsi="Arial" w:cs="Arial"/>
            </w:rPr>
            <w:t xml:space="preserve">Dentro de los aspectos que el Estado pretende cubrir mediante la cuenta pública se encuentra: </w:t>
          </w:r>
        </w:p>
        <w:p w14:paraId="6738B894"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Prevención y tratamiento de las adicciones.</w:t>
          </w:r>
        </w:p>
        <w:p w14:paraId="060DF3B0"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Accidentes de tránsito.</w:t>
          </w:r>
        </w:p>
        <w:p w14:paraId="604A6C52"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 xml:space="preserve">Salud maternal perinatal. </w:t>
          </w:r>
        </w:p>
        <w:p w14:paraId="222A6746"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Las Infecciones Respiratorias Agudas (IRA) y las Enfermedades Diarreicas Agudas (EDA) son los problemas de salud que más frecuentemente afectan a la niñez menor de cinco años.</w:t>
          </w:r>
        </w:p>
        <w:p w14:paraId="4FC8A7F8"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Centro Nacional para la Prevención y Control del VIH y el sida (CENSIDA)</w:t>
          </w:r>
        </w:p>
        <w:p w14:paraId="5FE0B021"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La salud mental constituye un problema de salud pública con alto costo social que afecta a las personas sin distinción de edad, sexo, nivel socioeconómico o cultural, provocando desde incapacidad hasta pérdida de la vida en caso de no atenderse oportunamente.</w:t>
          </w:r>
        </w:p>
        <w:p w14:paraId="49D1D66D" w14:textId="77777777" w:rsidR="007754E9" w:rsidRPr="00EB21EC" w:rsidRDefault="007754E9" w:rsidP="00047106">
          <w:pPr>
            <w:pStyle w:val="Prrafodelista"/>
            <w:spacing w:line="360" w:lineRule="auto"/>
            <w:jc w:val="both"/>
            <w:rPr>
              <w:rFonts w:ascii="Arial" w:hAnsi="Arial" w:cs="Arial"/>
            </w:rPr>
          </w:pPr>
          <w:r w:rsidRPr="00EB21EC">
            <w:rPr>
              <w:rFonts w:ascii="Arial" w:hAnsi="Arial" w:cs="Arial"/>
            </w:rPr>
            <w:t>Para la prevención y la vigilancia adecuada de dichos casos, la entidad cuenta con la “Clínica de Salud Mental Ramón de la Fuente”, que otorga consulta psicológica y médico psiquiátrica para la población vulnerable entre los que se encuentran niñas, niños, adolescentes y familias, llevando a cabo más de 16 mil consultas anuales en las cuales se atienden los principales trastornos mentales como el déficit de atención e hiperactividad, la depresión, la ansiedad, entre otras.</w:t>
          </w:r>
        </w:p>
        <w:p w14:paraId="121BF7C8" w14:textId="77777777" w:rsidR="007754E9" w:rsidRPr="00EB21EC" w:rsidRDefault="007754E9" w:rsidP="00047106">
          <w:pPr>
            <w:pStyle w:val="Prrafodelista"/>
            <w:numPr>
              <w:ilvl w:val="0"/>
              <w:numId w:val="40"/>
            </w:numPr>
            <w:spacing w:after="160" w:line="360" w:lineRule="auto"/>
            <w:jc w:val="both"/>
            <w:rPr>
              <w:rFonts w:ascii="Arial" w:hAnsi="Arial" w:cs="Arial"/>
            </w:rPr>
          </w:pPr>
          <w:r w:rsidRPr="00EB21EC">
            <w:rPr>
              <w:rFonts w:ascii="Arial" w:hAnsi="Arial" w:cs="Arial"/>
            </w:rPr>
            <w:t xml:space="preserve">El deporte no sólo contribuye en materia de prevención de obesidad y reduce los riesgos de enfermedades cardiovasculares, sino que también puede ser un vehículo para crear una cultura de vida sana que reduzca el riesgo de acceso y abuso de sustancias adictivas entre niñas, niños y jóvenes. </w:t>
          </w:r>
        </w:p>
        <w:p w14:paraId="55FD6183" w14:textId="5EE18A2D" w:rsidR="007754E9" w:rsidRPr="00EB21EC" w:rsidRDefault="00F80CDF" w:rsidP="00047106">
          <w:pPr>
            <w:pStyle w:val="Prrafodelista"/>
            <w:numPr>
              <w:ilvl w:val="0"/>
              <w:numId w:val="40"/>
            </w:numPr>
            <w:spacing w:after="160" w:line="360" w:lineRule="auto"/>
            <w:jc w:val="both"/>
            <w:rPr>
              <w:rFonts w:ascii="Arial" w:hAnsi="Arial" w:cs="Arial"/>
            </w:rPr>
          </w:pPr>
          <w:r>
            <w:rPr>
              <w:rFonts w:ascii="Arial" w:hAnsi="Arial" w:cs="Arial"/>
            </w:rPr>
            <w:t>R</w:t>
          </w:r>
          <w:r w:rsidR="007754E9" w:rsidRPr="00EB21EC">
            <w:rPr>
              <w:rFonts w:ascii="Arial" w:hAnsi="Arial" w:cs="Arial"/>
            </w:rPr>
            <w:t>educir el número de muertes y enfermedades causadas por productos químicos peligrosos y por la contaminación ambiental, la Comisión para la Protección contra Riesgos Sanitarios del Estado de México (COPRISEM), realiza tareas de vigilancia y actividades de fomento sanitario en materia de control de actividades, establecimientos, productos y servicios.</w:t>
          </w:r>
        </w:p>
        <w:p w14:paraId="7492BEB8" w14:textId="5C1E31AA" w:rsidR="007754E9" w:rsidRPr="00EB21EC" w:rsidRDefault="007754E9" w:rsidP="00047106">
          <w:pPr>
            <w:shd w:val="clear" w:color="auto" w:fill="FFFFFF" w:themeFill="background1"/>
            <w:spacing w:line="360" w:lineRule="auto"/>
            <w:jc w:val="both"/>
            <w:rPr>
              <w:rFonts w:ascii="Arial" w:hAnsi="Arial" w:cs="Arial"/>
            </w:rPr>
          </w:pPr>
          <w:r w:rsidRPr="00EB21EC">
            <w:rPr>
              <w:rFonts w:ascii="Arial" w:hAnsi="Arial" w:cs="Arial"/>
            </w:rPr>
            <w:t xml:space="preserve">El objetivo general del sector salud en el </w:t>
          </w:r>
          <w:r>
            <w:rPr>
              <w:rFonts w:ascii="Arial" w:hAnsi="Arial" w:cs="Arial"/>
            </w:rPr>
            <w:t>E</w:t>
          </w:r>
          <w:r w:rsidRPr="00EB21EC">
            <w:rPr>
              <w:rFonts w:ascii="Arial" w:hAnsi="Arial" w:cs="Arial"/>
            </w:rPr>
            <w:t>stado es contar con un sistema de salud estable que atienda de manera satisfactoria las necesidades prioritarias de la población mexiquense a partir de la creación de mecanismos de cooperación y coordinación interinstitucional, así como de control del ejercicio de los recursos, que contribuyan a consolidar mejores resultados de bienestar. En este mismo sentido, adquieren vital importancia, la vigilancia epidemiológica permanente, la prevención de situaciones de riesgo, la dignificación de la infraestructura en salud, el fortalecimiento de la calidad de la atención y el diseño de campañas de sensibilización ciudadana para el autocuidado de la salud.</w:t>
          </w:r>
        </w:p>
        <w:p w14:paraId="3CAB9AC5" w14:textId="2393EC6A" w:rsidR="007754E9" w:rsidRDefault="007754E9" w:rsidP="00047106">
          <w:pPr>
            <w:shd w:val="clear" w:color="auto" w:fill="FFFFFF" w:themeFill="background1"/>
            <w:spacing w:line="360" w:lineRule="auto"/>
            <w:jc w:val="both"/>
            <w:rPr>
              <w:rFonts w:ascii="Arial" w:hAnsi="Arial" w:cs="Arial"/>
            </w:rPr>
          </w:pPr>
          <w:r w:rsidRPr="00EB21EC">
            <w:rPr>
              <w:rFonts w:ascii="Arial" w:hAnsi="Arial" w:cs="Arial"/>
            </w:rPr>
            <w:t>Es necesario que todas las dependencias incrementen sus acciones en el ámbito de su competencia en pro de una cultura libre de drogas y a favor de la salud, para que así se propicie una mayor efectividad en la aplicación de las políticas relacionadas con la prevención, el tratamiento, la rehabilitación, la reinserción social y la participación social en torno al consumo de sustancias adictivas, sus riesgos y consecuencias.</w:t>
          </w:r>
        </w:p>
        <w:p w14:paraId="7CE172E0" w14:textId="77777777" w:rsidR="00E010D2" w:rsidRDefault="00E010D2" w:rsidP="00830B0F">
          <w:pPr>
            <w:shd w:val="clear" w:color="auto" w:fill="FFFFFF" w:themeFill="background1"/>
            <w:spacing w:line="360" w:lineRule="auto"/>
            <w:jc w:val="right"/>
            <w:rPr>
              <w:rFonts w:ascii="Arial" w:hAnsi="Arial" w:cs="Arial"/>
            </w:rPr>
          </w:pPr>
        </w:p>
        <w:p w14:paraId="4871D0C9" w14:textId="32668F4B" w:rsidR="00E010D2" w:rsidRPr="00E010D2" w:rsidRDefault="00E010D2" w:rsidP="00047106">
          <w:pPr>
            <w:pStyle w:val="Ttulo2"/>
            <w:jc w:val="both"/>
          </w:pPr>
          <w:bookmarkStart w:id="14" w:name="_Toc90995813"/>
          <w:r w:rsidRPr="00E010D2">
            <w:t>PILAR ECONÓMICO.</w:t>
          </w:r>
          <w:bookmarkEnd w:id="14"/>
        </w:p>
        <w:p w14:paraId="3BFA58DF" w14:textId="77777777" w:rsidR="00E010D2" w:rsidRDefault="00E010D2" w:rsidP="004708ED">
          <w:pPr>
            <w:spacing w:line="360" w:lineRule="auto"/>
            <w:jc w:val="both"/>
          </w:pPr>
          <w:r w:rsidRPr="00EB21EC">
            <w:rPr>
              <w:rFonts w:ascii="Arial" w:hAnsi="Arial" w:cs="Arial"/>
            </w:rPr>
            <w:t>El Estado de México tiene un fuerte peso e importante papel en la economía nacional, debido a su posición estratégica y privilegiada en el territorio nacional. Gracias al avance en la vacunación y, por consiguiente, en la apertura de fronteras y actividades, el país ha presentado una recuperación económica, en la que la entidad no es la excepción.</w:t>
          </w:r>
          <w:r>
            <w:t xml:space="preserve"> </w:t>
          </w:r>
        </w:p>
        <w:p w14:paraId="2B06D128" w14:textId="3F92C213" w:rsidR="00E642E2" w:rsidRDefault="00E642E2" w:rsidP="00830B0F">
          <w:pPr>
            <w:spacing w:line="360" w:lineRule="auto"/>
            <w:jc w:val="right"/>
          </w:pPr>
          <w:r>
            <w:rPr>
              <w:noProof/>
              <w:lang w:eastAsia="es-MX"/>
            </w:rPr>
            <w:drawing>
              <wp:anchor distT="0" distB="0" distL="114300" distR="114300" simplePos="0" relativeHeight="251679744" behindDoc="0" locked="0" layoutInCell="1" allowOverlap="1" wp14:anchorId="7C2C24DF" wp14:editId="448F7446">
                <wp:simplePos x="0" y="0"/>
                <wp:positionH relativeFrom="margin">
                  <wp:posOffset>3139440</wp:posOffset>
                </wp:positionH>
                <wp:positionV relativeFrom="margin">
                  <wp:posOffset>3686175</wp:posOffset>
                </wp:positionV>
                <wp:extent cx="2625725" cy="819150"/>
                <wp:effectExtent l="0" t="0" r="3175" b="0"/>
                <wp:wrapSquare wrapText="bothSides"/>
                <wp:docPr id="12" name="Imagen 12" descr="Reestructuración de deuda del Edomex ha permitido atraer mayor inve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structuración de deuda del Edomex ha permitido atraer mayor inversió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5725" cy="819150"/>
                        </a:xfrm>
                        <a:prstGeom prst="rect">
                          <a:avLst/>
                        </a:prstGeom>
                        <a:noFill/>
                        <a:ln>
                          <a:noFill/>
                        </a:ln>
                      </pic:spPr>
                    </pic:pic>
                  </a:graphicData>
                </a:graphic>
                <wp14:sizeRelV relativeFrom="margin">
                  <wp14:pctHeight>0</wp14:pctHeight>
                </wp14:sizeRelV>
              </wp:anchor>
            </w:drawing>
          </w:r>
        </w:p>
        <w:p w14:paraId="17C05DBF" w14:textId="708E5E9F" w:rsidR="00E010D2" w:rsidRPr="00D02D24" w:rsidRDefault="00E010D2" w:rsidP="00574DDA">
          <w:pPr>
            <w:spacing w:line="360" w:lineRule="auto"/>
            <w:jc w:val="both"/>
            <w:rPr>
              <w:rFonts w:ascii="Arial" w:hAnsi="Arial" w:cs="Arial"/>
            </w:rPr>
          </w:pPr>
          <w:r w:rsidRPr="00D02D24">
            <w:rPr>
              <w:rFonts w:ascii="Arial" w:hAnsi="Arial" w:cs="Arial"/>
            </w:rPr>
            <w:t>El Estado de México posee una significativa diversidad económica en manufactura, destacando sectores productivos y competitivos a nivel internacional, como el automotriz, alimentos y bebidas, metalmecánico y plásticos. Sin duda, es una entidad con un claro potencial exportador al contar con infraestructura, capacidad y talento para consolidar la exportación de los productos mexiquenses.</w:t>
          </w:r>
        </w:p>
        <w:p w14:paraId="49D91A71" w14:textId="7BCA5729" w:rsidR="00E010D2" w:rsidRDefault="00E010D2" w:rsidP="00574DDA">
          <w:pPr>
            <w:spacing w:line="360" w:lineRule="auto"/>
            <w:jc w:val="both"/>
            <w:rPr>
              <w:rFonts w:ascii="Arial" w:hAnsi="Arial" w:cs="Arial"/>
            </w:rPr>
          </w:pPr>
          <w:r w:rsidRPr="00D02D24">
            <w:rPr>
              <w:rFonts w:ascii="Arial" w:hAnsi="Arial" w:cs="Arial"/>
            </w:rPr>
            <w:t>Adicionalmente, la economía del Estado de México cuenta con una gran diversidad de industrias, lo que le permite producir un sinnúmero de bienes, convirtiéndola en la cuarta economía más compleja del país.</w:t>
          </w:r>
        </w:p>
        <w:p w14:paraId="07842290" w14:textId="43BE83CB" w:rsidR="00E642E2" w:rsidRDefault="00E642E2" w:rsidP="00830B0F">
          <w:pPr>
            <w:spacing w:line="360" w:lineRule="auto"/>
            <w:jc w:val="right"/>
            <w:rPr>
              <w:rFonts w:ascii="Arial" w:hAnsi="Arial" w:cs="Arial"/>
            </w:rPr>
          </w:pPr>
          <w:r>
            <w:rPr>
              <w:noProof/>
              <w:lang w:eastAsia="es-MX"/>
            </w:rPr>
            <w:drawing>
              <wp:inline distT="0" distB="0" distL="0" distR="0" wp14:anchorId="7ED2CFEB" wp14:editId="71741FBB">
                <wp:extent cx="5610225" cy="292417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735BF6" w14:textId="77777777" w:rsidR="00E642E2" w:rsidRPr="007E0EB4" w:rsidRDefault="00E642E2" w:rsidP="00962B8F">
          <w:pPr>
            <w:shd w:val="clear" w:color="auto" w:fill="FFFFFF" w:themeFill="background1"/>
            <w:spacing w:line="360" w:lineRule="auto"/>
            <w:jc w:val="both"/>
            <w:rPr>
              <w:rFonts w:ascii="Arial" w:hAnsi="Arial" w:cs="Arial"/>
              <w:sz w:val="18"/>
              <w:szCs w:val="18"/>
            </w:rPr>
          </w:pPr>
          <w:r w:rsidRPr="007E0EB4">
            <w:rPr>
              <w:rFonts w:ascii="Arial" w:hAnsi="Arial" w:cs="Arial"/>
              <w:sz w:val="18"/>
              <w:szCs w:val="18"/>
            </w:rPr>
            <w:t>ELABORADO POR CUENTA PROPIA MEDIANTE EL PLAN DE DESARROLLO DEL ESTADO DE MÉXICO 2017-2023.</w:t>
          </w:r>
        </w:p>
        <w:p w14:paraId="732E938D" w14:textId="77777777" w:rsidR="00E642E2" w:rsidRDefault="00E642E2" w:rsidP="00830B0F">
          <w:pPr>
            <w:spacing w:line="360" w:lineRule="auto"/>
            <w:jc w:val="right"/>
            <w:rPr>
              <w:rFonts w:ascii="Arial" w:hAnsi="Arial" w:cs="Arial"/>
            </w:rPr>
          </w:pPr>
        </w:p>
        <w:p w14:paraId="0F5ED282" w14:textId="77777777" w:rsidR="00E642E2" w:rsidRPr="00D02D24" w:rsidRDefault="00E642E2" w:rsidP="00830B0F">
          <w:pPr>
            <w:spacing w:line="360" w:lineRule="auto"/>
            <w:jc w:val="right"/>
            <w:rPr>
              <w:rFonts w:ascii="Arial" w:hAnsi="Arial" w:cs="Arial"/>
            </w:rPr>
          </w:pPr>
        </w:p>
        <w:p w14:paraId="246CEC6E" w14:textId="4A871F8D" w:rsidR="007E0EB4" w:rsidRDefault="00E010D2" w:rsidP="00423908">
          <w:pPr>
            <w:spacing w:line="360" w:lineRule="auto"/>
            <w:jc w:val="both"/>
            <w:rPr>
              <w:rFonts w:ascii="Arial" w:hAnsi="Arial" w:cs="Arial"/>
            </w:rPr>
          </w:pPr>
          <w:r w:rsidRPr="00D02D24">
            <w:rPr>
              <w:rFonts w:ascii="Arial" w:hAnsi="Arial" w:cs="Arial"/>
            </w:rPr>
            <w:t xml:space="preserve">Se ha dado la difusión de la cultura de emprendimiento, realizada en diferentes espacios de emprendimiento, se realizaron 21 eventos a través de la acción “Feria del Emprendimiento EDOMÉX”, así como 11 foros mediante la acción “MiPyME’s EDOMÉX”. </w:t>
          </w:r>
        </w:p>
        <w:p w14:paraId="28D82CEB" w14:textId="362517AD" w:rsidR="00E010D2" w:rsidRPr="00D02D24" w:rsidRDefault="007E0EB4" w:rsidP="00423908">
          <w:pPr>
            <w:spacing w:line="360" w:lineRule="auto"/>
            <w:jc w:val="both"/>
            <w:rPr>
              <w:rFonts w:ascii="Arial" w:hAnsi="Arial" w:cs="Arial"/>
            </w:rPr>
          </w:pPr>
          <w:r>
            <w:rPr>
              <w:rFonts w:ascii="Arial" w:hAnsi="Arial" w:cs="Arial"/>
            </w:rPr>
            <w:t xml:space="preserve">El gobierno ha brindado apoyo a </w:t>
          </w:r>
          <w:r w:rsidR="00E010D2" w:rsidRPr="00D02D24">
            <w:rPr>
              <w:rFonts w:ascii="Arial" w:hAnsi="Arial" w:cs="Arial"/>
            </w:rPr>
            <w:t>las personas mediante diferentes programas de financiamiento y continúan recibiendo recursos monetarios. Propiciando igualmente el fomento al autoempleo, ferias de empleo, bolsa y capacitación de trabajo, apoyar a los comerciantes con el fin de tener una inversión productiva, estabilizar la economía post- pandemia. Debido a la pandemia por COVID-19, todas las actividades productivas del país han sido afectadas, en particular la ganadería estatal debido al cierre de los tianguis ganaderos, la importación de alimentos pecuarios y su incremento en el precio. Debido a la pandemia por COVID-19, todas las actividades productivas del país han sido afectadas, en particular la ganadería estatal debido al cierre de los tianguis ganaderos, la importación de alimentos pecuarios y su incremento en el precio.</w:t>
          </w:r>
        </w:p>
        <w:p w14:paraId="083FF6A9" w14:textId="07CE1ADB" w:rsidR="00E010D2" w:rsidRPr="00D02D24" w:rsidRDefault="00E010D2" w:rsidP="00423908">
          <w:pPr>
            <w:spacing w:line="360" w:lineRule="auto"/>
            <w:jc w:val="both"/>
            <w:rPr>
              <w:rFonts w:ascii="Arial" w:hAnsi="Arial" w:cs="Arial"/>
            </w:rPr>
          </w:pPr>
          <w:r w:rsidRPr="00D02D24">
            <w:rPr>
              <w:rFonts w:ascii="Arial" w:hAnsi="Arial" w:cs="Arial"/>
            </w:rPr>
            <w:t>Para contribuir a la reactivación de la economía se han implementado técnicas y herramientas tecnológicas para abrir ese nuevo panorama a una nueva forma de hacer crecer el comercio</w:t>
          </w:r>
          <w:r w:rsidR="007E0EB4">
            <w:rPr>
              <w:rFonts w:ascii="Arial" w:hAnsi="Arial" w:cs="Arial"/>
            </w:rPr>
            <w:t xml:space="preserve"> y fortalecer a la comunidad mexiquense.</w:t>
          </w:r>
        </w:p>
        <w:p w14:paraId="18E66938" w14:textId="77777777" w:rsidR="00E010D2" w:rsidRPr="00D02D24" w:rsidRDefault="00E010D2" w:rsidP="00423908">
          <w:pPr>
            <w:spacing w:line="360" w:lineRule="auto"/>
            <w:jc w:val="both"/>
            <w:rPr>
              <w:rFonts w:ascii="Arial" w:hAnsi="Arial" w:cs="Arial"/>
            </w:rPr>
          </w:pPr>
          <w:r w:rsidRPr="00D02D24">
            <w:rPr>
              <w:rFonts w:ascii="Arial" w:hAnsi="Arial" w:cs="Arial"/>
            </w:rPr>
            <w:t xml:space="preserve">De acuerdo con el Foro Económico Mundial, la competitividad es “el conjunto de instituciones, políticas y factores que determinan el nivel de productividad de un país”. Entre algunas variables que hacen del Estado de México un lugar favorable para la inversión, se encuentran: </w:t>
          </w:r>
          <w:r w:rsidRPr="00D02D24">
            <w:rPr>
              <w:rStyle w:val="Refdenotaalpie"/>
              <w:rFonts w:ascii="Arial" w:hAnsi="Arial" w:cs="Arial"/>
            </w:rPr>
            <w:footnoteReference w:id="4"/>
          </w:r>
        </w:p>
        <w:p w14:paraId="5A5F492E" w14:textId="22EEC592" w:rsidR="00E010D2" w:rsidRPr="000F2A6B" w:rsidRDefault="00E010D2" w:rsidP="00423908">
          <w:pPr>
            <w:pStyle w:val="Prrafodelista"/>
            <w:numPr>
              <w:ilvl w:val="0"/>
              <w:numId w:val="41"/>
            </w:numPr>
            <w:spacing w:line="360" w:lineRule="auto"/>
            <w:jc w:val="both"/>
            <w:rPr>
              <w:rFonts w:ascii="Arial" w:hAnsi="Arial" w:cs="Arial"/>
            </w:rPr>
          </w:pPr>
          <w:r w:rsidRPr="000F2A6B">
            <w:rPr>
              <w:rFonts w:ascii="Arial" w:hAnsi="Arial" w:cs="Arial"/>
            </w:rPr>
            <w:t xml:space="preserve">Su localización estratégica en el centro geográfico de la República Mexicana. </w:t>
          </w:r>
        </w:p>
        <w:p w14:paraId="148760A0" w14:textId="1F71B15A" w:rsidR="00E010D2" w:rsidRPr="000F2A6B" w:rsidRDefault="00E010D2" w:rsidP="00423908">
          <w:pPr>
            <w:pStyle w:val="Prrafodelista"/>
            <w:numPr>
              <w:ilvl w:val="0"/>
              <w:numId w:val="41"/>
            </w:numPr>
            <w:spacing w:line="360" w:lineRule="auto"/>
            <w:jc w:val="both"/>
            <w:rPr>
              <w:rFonts w:ascii="Arial" w:hAnsi="Arial" w:cs="Arial"/>
            </w:rPr>
          </w:pPr>
          <w:r w:rsidRPr="000F2A6B">
            <w:rPr>
              <w:rFonts w:ascii="Arial" w:hAnsi="Arial" w:cs="Arial"/>
            </w:rPr>
            <w:t xml:space="preserve">Su alta conectividad con la capital del país, con las entidades federativas circundantes y con el extranjero a través del Aeropuerto Internacional de Toluca y el Nuevo Aeropuerto Internacional de México (en construcción), situado en territorio mexiquense. </w:t>
          </w:r>
        </w:p>
        <w:p w14:paraId="289297B8" w14:textId="3CB2CEF7" w:rsidR="00E010D2" w:rsidRPr="000F2A6B" w:rsidRDefault="00E010D2" w:rsidP="00423908">
          <w:pPr>
            <w:pStyle w:val="Prrafodelista"/>
            <w:numPr>
              <w:ilvl w:val="0"/>
              <w:numId w:val="41"/>
            </w:numPr>
            <w:spacing w:line="360" w:lineRule="auto"/>
            <w:jc w:val="both"/>
            <w:rPr>
              <w:rFonts w:ascii="Arial" w:hAnsi="Arial" w:cs="Arial"/>
            </w:rPr>
          </w:pPr>
          <w:r w:rsidRPr="000F2A6B">
            <w:rPr>
              <w:rFonts w:ascii="Arial" w:hAnsi="Arial" w:cs="Arial"/>
            </w:rPr>
            <w:t xml:space="preserve">Es la entidad más poblada del país, con más de 17 millones de habitantes y el mayor mercado de consumo en el ámbito nacional. </w:t>
          </w:r>
        </w:p>
        <w:p w14:paraId="1AD32D29" w14:textId="010F4912" w:rsidR="00E010D2" w:rsidRPr="000F2A6B" w:rsidRDefault="00E010D2" w:rsidP="00423908">
          <w:pPr>
            <w:pStyle w:val="Prrafodelista"/>
            <w:numPr>
              <w:ilvl w:val="0"/>
              <w:numId w:val="41"/>
            </w:numPr>
            <w:spacing w:line="360" w:lineRule="auto"/>
            <w:jc w:val="both"/>
            <w:rPr>
              <w:rFonts w:ascii="Arial" w:hAnsi="Arial" w:cs="Arial"/>
            </w:rPr>
          </w:pPr>
          <w:r w:rsidRPr="000F2A6B">
            <w:rPr>
              <w:rFonts w:ascii="Arial" w:hAnsi="Arial" w:cs="Arial"/>
            </w:rPr>
            <w:t xml:space="preserve">Se ubica en la segunda posición en cuanto al número de instituciones de educación superior y centros de investigación. </w:t>
          </w:r>
        </w:p>
        <w:p w14:paraId="32784407" w14:textId="294BC3F9" w:rsidR="00E010D2" w:rsidRPr="000F2A6B" w:rsidRDefault="00E010D2" w:rsidP="00423908">
          <w:pPr>
            <w:pStyle w:val="Prrafodelista"/>
            <w:numPr>
              <w:ilvl w:val="0"/>
              <w:numId w:val="41"/>
            </w:numPr>
            <w:spacing w:line="360" w:lineRule="auto"/>
            <w:jc w:val="both"/>
            <w:rPr>
              <w:rFonts w:ascii="Arial" w:hAnsi="Arial" w:cs="Arial"/>
            </w:rPr>
          </w:pPr>
          <w:r w:rsidRPr="000F2A6B">
            <w:rPr>
              <w:rFonts w:ascii="Arial" w:hAnsi="Arial" w:cs="Arial"/>
            </w:rPr>
            <w:t xml:space="preserve">Se ha distinguido por la realización de importantes modificaciones a su marco regulatorio, a fin de lograr una mayor simplificación administrativa, incentivar la apertura de empresas en la entidad y promover el desarrollo económico con un enfoque incluyente y sustentable. </w:t>
          </w:r>
        </w:p>
        <w:p w14:paraId="4AD69AFB" w14:textId="118541E7" w:rsidR="00E010D2" w:rsidRPr="000F2A6B" w:rsidRDefault="00E010D2" w:rsidP="00423908">
          <w:pPr>
            <w:pStyle w:val="Prrafodelista"/>
            <w:numPr>
              <w:ilvl w:val="0"/>
              <w:numId w:val="41"/>
            </w:numPr>
            <w:spacing w:line="360" w:lineRule="auto"/>
            <w:jc w:val="both"/>
            <w:rPr>
              <w:rFonts w:ascii="Arial" w:hAnsi="Arial" w:cs="Arial"/>
            </w:rPr>
          </w:pPr>
          <w:r w:rsidRPr="000F2A6B">
            <w:rPr>
              <w:rFonts w:ascii="Arial" w:hAnsi="Arial" w:cs="Arial"/>
            </w:rPr>
            <w:t>De acuerdo con el INEGI, el Estado de México en conjunto con la Ciudad de México, representa 21.2 por ciento de la población total nacional y 19.7 por ciento del total de las unidades económicas de la República Mexicana.</w:t>
          </w:r>
        </w:p>
        <w:p w14:paraId="2604723E" w14:textId="77777777" w:rsidR="00E010D2" w:rsidRPr="00D02D24" w:rsidRDefault="00E010D2" w:rsidP="00423908">
          <w:pPr>
            <w:spacing w:line="360" w:lineRule="auto"/>
            <w:jc w:val="both"/>
            <w:rPr>
              <w:rFonts w:ascii="Arial" w:hAnsi="Arial" w:cs="Arial"/>
            </w:rPr>
          </w:pPr>
          <w:r w:rsidRPr="00D02D24">
            <w:rPr>
              <w:rFonts w:ascii="Arial" w:hAnsi="Arial" w:cs="Arial"/>
            </w:rPr>
            <w:t>Si bien el Estado de México cuenta con atributos que lo hacen económicamente competitivo en el contexto nacional, existen condiciones importantes en diferentes rubros como: el financiamiento, la agilización de trámites, la seguridad, la transparencia, la sostenibilidad de los procesos productivos y la inclusión, cuya atención es de suma trascendencia para generar mejores condiciones que impulsen el desarrollo económico equilibrado y sostenido de la entidad.</w:t>
          </w:r>
        </w:p>
        <w:p w14:paraId="139F6CF3" w14:textId="7EA129CF" w:rsidR="00E010D2" w:rsidRPr="00D02D24" w:rsidRDefault="00E010D2" w:rsidP="00423908">
          <w:pPr>
            <w:spacing w:line="360" w:lineRule="auto"/>
            <w:jc w:val="both"/>
            <w:rPr>
              <w:rFonts w:ascii="Arial" w:hAnsi="Arial" w:cs="Arial"/>
            </w:rPr>
          </w:pPr>
          <w:r w:rsidRPr="00D02D24">
            <w:rPr>
              <w:rFonts w:ascii="Arial" w:hAnsi="Arial" w:cs="Arial"/>
            </w:rPr>
            <w:t>El Estado de México ha tenido avances significativos en cuanto a la facilidad para hacer negocios. Sin embargo, la complejidad de los trámites a realizar y los niveles de satisfacción por parte de los empresarios al respecto indican que éste es aún uno de los principales retos del sector. La dificultad en la realización de trámites es un reflejo de la necesidad de contar con mecanismos efectivos de coordinación intergubernamental (Federación-Estado-Municipios).</w:t>
          </w:r>
        </w:p>
        <w:p w14:paraId="1AD8AFE0" w14:textId="33D794A8" w:rsidR="000F2A6B" w:rsidRDefault="000F2A6B" w:rsidP="00423908">
          <w:pPr>
            <w:spacing w:line="360" w:lineRule="auto"/>
            <w:jc w:val="both"/>
            <w:rPr>
              <w:rFonts w:ascii="Arial" w:hAnsi="Arial" w:cs="Arial"/>
            </w:rPr>
          </w:pPr>
          <w:r w:rsidRPr="000F2A6B">
            <w:rPr>
              <w:rFonts w:ascii="Arial" w:hAnsi="Arial" w:cs="Arial"/>
            </w:rPr>
            <w:t>Es fundamental continuar los procesos de mejora regulatoria y simplificación de trámites, así como fortalecer las acciones de acompañamiento, asesoría y atención empresarial, de modo que el Gobierno del Estado de México se consolide como un aliado estratégico para la creación de nuevas empresas, al igual que para la diversificación y consolidación de las existentes.</w:t>
          </w:r>
        </w:p>
        <w:p w14:paraId="05DFDE00" w14:textId="504FF0A4" w:rsidR="000F2A6B" w:rsidRDefault="000F2A6B" w:rsidP="00423908">
          <w:pPr>
            <w:spacing w:line="360" w:lineRule="auto"/>
            <w:jc w:val="both"/>
            <w:rPr>
              <w:rFonts w:ascii="Arial" w:hAnsi="Arial" w:cs="Arial"/>
            </w:rPr>
          </w:pPr>
          <w:r>
            <w:rPr>
              <w:rFonts w:ascii="Arial" w:hAnsi="Arial" w:cs="Arial"/>
            </w:rPr>
            <w:t xml:space="preserve">Los principales retos que enfrenta el Estado de México en materia de desarrollo económico se pueden resumir en tres grandes rubros: </w:t>
          </w:r>
        </w:p>
        <w:p w14:paraId="78544D42" w14:textId="683B3704" w:rsidR="000F2A6B" w:rsidRPr="007F4FAF" w:rsidRDefault="000F2A6B" w:rsidP="00423908">
          <w:pPr>
            <w:pStyle w:val="Prrafodelista"/>
            <w:numPr>
              <w:ilvl w:val="0"/>
              <w:numId w:val="44"/>
            </w:numPr>
            <w:spacing w:line="360" w:lineRule="auto"/>
            <w:jc w:val="both"/>
            <w:rPr>
              <w:rFonts w:ascii="Arial" w:hAnsi="Arial" w:cs="Arial"/>
            </w:rPr>
          </w:pPr>
          <w:r w:rsidRPr="007F4FAF">
            <w:rPr>
              <w:rFonts w:ascii="Arial" w:hAnsi="Arial" w:cs="Arial"/>
            </w:rPr>
            <w:t xml:space="preserve">Incrementar la productividad en todos los sectores de nuestra economía; </w:t>
          </w:r>
        </w:p>
        <w:p w14:paraId="5524E412" w14:textId="0F723849" w:rsidR="000F2A6B" w:rsidRPr="007F4FAF" w:rsidRDefault="000F2A6B" w:rsidP="00423908">
          <w:pPr>
            <w:pStyle w:val="Prrafodelista"/>
            <w:numPr>
              <w:ilvl w:val="0"/>
              <w:numId w:val="44"/>
            </w:numPr>
            <w:spacing w:line="360" w:lineRule="auto"/>
            <w:jc w:val="both"/>
            <w:rPr>
              <w:rFonts w:ascii="Arial" w:hAnsi="Arial" w:cs="Arial"/>
            </w:rPr>
          </w:pPr>
          <w:r w:rsidRPr="007F4FAF">
            <w:rPr>
              <w:rFonts w:ascii="Arial" w:hAnsi="Arial" w:cs="Arial"/>
            </w:rPr>
            <w:t xml:space="preserve">Generar las condiciones necesarias para ser más competitivos y atraer y retener inversiones generadoras de empleo; </w:t>
          </w:r>
        </w:p>
        <w:p w14:paraId="034E7390" w14:textId="02AB157F" w:rsidR="000F2A6B" w:rsidRPr="007F4FAF" w:rsidRDefault="000F2A6B" w:rsidP="00423908">
          <w:pPr>
            <w:pStyle w:val="Prrafodelista"/>
            <w:numPr>
              <w:ilvl w:val="0"/>
              <w:numId w:val="44"/>
            </w:numPr>
            <w:spacing w:line="360" w:lineRule="auto"/>
            <w:jc w:val="both"/>
            <w:rPr>
              <w:rFonts w:ascii="Arial" w:hAnsi="Arial" w:cs="Arial"/>
            </w:rPr>
          </w:pPr>
          <w:r w:rsidRPr="007F4FAF">
            <w:rPr>
              <w:rFonts w:ascii="Arial" w:hAnsi="Arial" w:cs="Arial"/>
            </w:rPr>
            <w:t>Ampliar y fortalecer los mecanismos que permitan un desarrollo económico sostenido, equilibrado e inclusivo.</w:t>
          </w:r>
        </w:p>
        <w:p w14:paraId="73B419CD" w14:textId="706EC53F" w:rsidR="000F2A6B" w:rsidRPr="007F4FAF" w:rsidRDefault="007F4FAF" w:rsidP="00423908">
          <w:pPr>
            <w:pStyle w:val="Ttulo3"/>
            <w:jc w:val="both"/>
          </w:pPr>
          <w:bookmarkStart w:id="15" w:name="_Toc90995814"/>
          <w:r>
            <w:rPr>
              <w:noProof/>
              <w:lang w:eastAsia="es-MX"/>
            </w:rPr>
            <w:drawing>
              <wp:anchor distT="0" distB="0" distL="114300" distR="114300" simplePos="0" relativeHeight="251667456" behindDoc="0" locked="0" layoutInCell="1" allowOverlap="1" wp14:anchorId="3810B00D" wp14:editId="548078EC">
                <wp:simplePos x="0" y="0"/>
                <wp:positionH relativeFrom="margin">
                  <wp:posOffset>27305</wp:posOffset>
                </wp:positionH>
                <wp:positionV relativeFrom="margin">
                  <wp:posOffset>3427730</wp:posOffset>
                </wp:positionV>
                <wp:extent cx="2118995" cy="1753235"/>
                <wp:effectExtent l="0" t="0" r="0" b="0"/>
                <wp:wrapSquare wrapText="bothSides"/>
                <wp:docPr id="22" name="Imagen 22" descr="Las carreteras más importantes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carreteras más importantes de Méxic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899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A6B" w:rsidRPr="007F4FAF">
            <w:t>INFRAESTRUCTURA.</w:t>
          </w:r>
          <w:bookmarkEnd w:id="15"/>
        </w:p>
        <w:p w14:paraId="5F4EBA0B" w14:textId="4D4F332B" w:rsidR="000F2A6B" w:rsidRDefault="000F2A6B" w:rsidP="00423908">
          <w:pPr>
            <w:spacing w:line="360" w:lineRule="auto"/>
            <w:jc w:val="both"/>
            <w:rPr>
              <w:rFonts w:ascii="Arial" w:hAnsi="Arial" w:cs="Arial"/>
            </w:rPr>
          </w:pPr>
          <w:r>
            <w:rPr>
              <w:rFonts w:ascii="Arial" w:hAnsi="Arial" w:cs="Arial"/>
            </w:rPr>
            <w:t xml:space="preserve">La infraestructura, especialmente la de servicios públicos, es susceptible de ampliar la frontera productiva y la industrialización del estado. En algunos casos, los gobiernos estatales y municipales inciden directamente en la construcción de obras de servicio público que permiten atender las necesidades de la población, tales como pavimentación, infraestructura de educación, seguridad, salud, así como centros de cultura, deporte y esparcimiento. </w:t>
          </w:r>
        </w:p>
        <w:p w14:paraId="6A443067" w14:textId="2F7C539A" w:rsidR="000F2A6B" w:rsidRDefault="000F2A6B" w:rsidP="00423908">
          <w:pPr>
            <w:spacing w:line="360" w:lineRule="auto"/>
            <w:jc w:val="both"/>
            <w:rPr>
              <w:rFonts w:ascii="Arial" w:hAnsi="Arial" w:cs="Arial"/>
            </w:rPr>
          </w:pPr>
          <w:r>
            <w:rPr>
              <w:rFonts w:ascii="Arial" w:hAnsi="Arial" w:cs="Arial"/>
            </w:rPr>
            <w:t>En temas como energía renovable y no renovable, servicios aeroportuarios, transporte masivo de personas, turísticos y de entretenimiento, es indispensable la participación de la iniciativa privada.</w:t>
          </w:r>
          <w:r w:rsidR="00B6035F" w:rsidRPr="00B6035F">
            <w:t xml:space="preserve"> </w:t>
          </w:r>
        </w:p>
        <w:p w14:paraId="5501DBA6" w14:textId="06F4723A" w:rsidR="000F2A6B" w:rsidRDefault="000F2A6B" w:rsidP="00423908">
          <w:pPr>
            <w:spacing w:line="360" w:lineRule="auto"/>
            <w:jc w:val="both"/>
            <w:rPr>
              <w:rFonts w:ascii="Arial" w:hAnsi="Arial" w:cs="Arial"/>
            </w:rPr>
          </w:pPr>
          <w:r>
            <w:rPr>
              <w:rFonts w:ascii="Arial" w:hAnsi="Arial" w:cs="Arial"/>
            </w:rPr>
            <w:t>El Estado de México cuenta con una red importante y funcional de comunicaciones y de transporte carretero y ferroviario, así como una adecuada disponibilidad de energía eléctrica y agua potable.</w:t>
          </w:r>
        </w:p>
        <w:p w14:paraId="6166DCD2" w14:textId="1BF1741D" w:rsidR="00B6035F" w:rsidRDefault="00B6035F" w:rsidP="00423908">
          <w:pPr>
            <w:spacing w:line="360" w:lineRule="auto"/>
            <w:jc w:val="both"/>
            <w:rPr>
              <w:rFonts w:ascii="Arial" w:hAnsi="Arial" w:cs="Arial"/>
            </w:rPr>
          </w:pPr>
          <w:r>
            <w:rPr>
              <w:noProof/>
              <w:lang w:eastAsia="es-MX"/>
            </w:rPr>
            <w:drawing>
              <wp:anchor distT="0" distB="0" distL="114300" distR="114300" simplePos="0" relativeHeight="251668480" behindDoc="0" locked="0" layoutInCell="1" allowOverlap="1" wp14:anchorId="162B384E" wp14:editId="7FC4775E">
                <wp:simplePos x="0" y="0"/>
                <wp:positionH relativeFrom="margin">
                  <wp:posOffset>3340922</wp:posOffset>
                </wp:positionH>
                <wp:positionV relativeFrom="margin">
                  <wp:posOffset>-47176</wp:posOffset>
                </wp:positionV>
                <wp:extent cx="2269490" cy="1364615"/>
                <wp:effectExtent l="0" t="0" r="0" b="6985"/>
                <wp:wrapSquare wrapText="bothSides"/>
                <wp:docPr id="23" name="Imagen 23" descr="Caseta de la México-Toluca ya no aceptará efe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eta de la México-Toluca ya no aceptará efectiv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949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A6B">
            <w:rPr>
              <w:rFonts w:ascii="Arial" w:hAnsi="Arial" w:cs="Arial"/>
            </w:rPr>
            <w:t>La entidad tiene una ubicación geográfica privilegiada e instalaciones aeroportuarias que lo ubican como un potencial centro logístico para el comercio internacional. Se encuentra conectado con mercados nacionales e internacionales a través del Aeropuerto Internacional de Toluca.</w:t>
          </w:r>
        </w:p>
        <w:p w14:paraId="14729783" w14:textId="34E43F58" w:rsidR="000F2A6B" w:rsidRDefault="000F2A6B" w:rsidP="00423908">
          <w:pPr>
            <w:spacing w:line="360" w:lineRule="auto"/>
            <w:jc w:val="both"/>
            <w:rPr>
              <w:rFonts w:ascii="Arial" w:hAnsi="Arial" w:cs="Arial"/>
            </w:rPr>
          </w:pPr>
          <w:r>
            <w:rPr>
              <w:rFonts w:ascii="Arial" w:hAnsi="Arial" w:cs="Arial"/>
            </w:rPr>
            <w:t>El desarrollo de la infraestructura vial y carretera es fundamental para potenciar las capacidades de la entidad y para su desarrollo. A través de ella se moviliza la población, bienes, productos y servicios a las diversas regiones del país, para el beneficio de los habitantes de la entidad.</w:t>
          </w:r>
          <w:r w:rsidR="00B6035F" w:rsidRPr="00B6035F">
            <w:rPr>
              <w:rFonts w:ascii="Arial" w:hAnsi="Arial" w:cs="Arial"/>
            </w:rPr>
            <w:t xml:space="preserve"> </w:t>
          </w:r>
        </w:p>
        <w:p w14:paraId="21994144" w14:textId="60AF8F4D" w:rsidR="00B6035F" w:rsidRDefault="00B6035F" w:rsidP="00830B0F">
          <w:pPr>
            <w:pStyle w:val="Prrafodelista"/>
            <w:spacing w:after="160" w:line="360" w:lineRule="auto"/>
            <w:jc w:val="right"/>
            <w:rPr>
              <w:rFonts w:ascii="Arial" w:hAnsi="Arial" w:cs="Arial"/>
            </w:rPr>
          </w:pPr>
          <w:r>
            <w:rPr>
              <w:rFonts w:ascii="Arial" w:hAnsi="Arial" w:cs="Arial"/>
              <w:noProof/>
              <w:lang w:eastAsia="es-MX"/>
            </w:rPr>
            <w:drawing>
              <wp:inline distT="0" distB="0" distL="0" distR="0" wp14:anchorId="4A19577C" wp14:editId="28A70D6E">
                <wp:extent cx="4830183" cy="4044875"/>
                <wp:effectExtent l="0" t="0" r="0" b="1333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14B2367" w14:textId="1A9A0F19" w:rsidR="00897B9C" w:rsidRPr="003A3C69" w:rsidRDefault="003A3C69" w:rsidP="00423908">
          <w:pPr>
            <w:pStyle w:val="Ttulo2"/>
            <w:jc w:val="both"/>
          </w:pPr>
          <w:bookmarkStart w:id="16" w:name="_Toc90995815"/>
          <w:r w:rsidRPr="003A3C69">
            <w:t>PILAR TERRITORIAL.</w:t>
          </w:r>
          <w:bookmarkEnd w:id="16"/>
        </w:p>
        <w:p w14:paraId="0D9DD14C" w14:textId="07C14C22" w:rsidR="003A3C69" w:rsidRDefault="003A3C69" w:rsidP="00404C7D">
          <w:pPr>
            <w:spacing w:line="360" w:lineRule="auto"/>
            <w:jc w:val="both"/>
            <w:rPr>
              <w:rFonts w:ascii="Arial" w:hAnsi="Arial" w:cs="Arial"/>
            </w:rPr>
          </w:pPr>
          <w:r>
            <w:rPr>
              <w:rFonts w:ascii="Arial" w:hAnsi="Arial" w:cs="Arial"/>
            </w:rPr>
            <w:t>El Gobierno del Estado de México ha realizado grandes esfuerzos para llevar el servicio de electrificación y alumbrado público a más comunidades, con el propósito de mejorar la calidad de vida y el bienestar de las familias mexiquenses, promoviendo el desarrollo y la seguridad de sus localidades.</w:t>
          </w:r>
        </w:p>
        <w:p w14:paraId="7A731AB6" w14:textId="2341F30C" w:rsidR="003A3C69" w:rsidRDefault="003A3C69" w:rsidP="00404C7D">
          <w:pPr>
            <w:spacing w:line="360" w:lineRule="auto"/>
            <w:jc w:val="both"/>
            <w:rPr>
              <w:rFonts w:ascii="Arial" w:hAnsi="Arial" w:cs="Arial"/>
            </w:rPr>
          </w:pPr>
          <w:r>
            <w:rPr>
              <w:rFonts w:ascii="Arial" w:hAnsi="Arial" w:cs="Arial"/>
            </w:rPr>
            <w:t>Toda sociedad requiere producir bienes y servicios para satisfacer diversas necesidades y crear un entorno de orden, bienestar y oportunidad. La elaboración de estos satisfactores requiere de mano de obra, maquinaria, infraestructura y recursos naturales como: agua, suelo, energía, flora y fauna silvestre.</w:t>
          </w:r>
        </w:p>
        <w:p w14:paraId="3415D958" w14:textId="74D9313E" w:rsidR="00897B9C" w:rsidRDefault="00B34E88" w:rsidP="00830B0F">
          <w:pPr>
            <w:spacing w:line="360" w:lineRule="auto"/>
            <w:jc w:val="right"/>
            <w:rPr>
              <w:rFonts w:ascii="Arial" w:hAnsi="Arial" w:cs="Arial"/>
            </w:rPr>
          </w:pPr>
          <w:r>
            <w:rPr>
              <w:noProof/>
              <w:lang w:eastAsia="es-MX"/>
            </w:rPr>
            <w:drawing>
              <wp:inline distT="0" distB="0" distL="0" distR="0" wp14:anchorId="2A344972" wp14:editId="0CBAC9B7">
                <wp:extent cx="5612130" cy="3784209"/>
                <wp:effectExtent l="0" t="0" r="7620" b="6985"/>
                <wp:docPr id="40" name="Imagen 40" descr="Esto es lo que podrás disfrutar en el nuevo Parque de la Ciencia Fundadores  de Toluca - No te lo pie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to es lo que podrás disfrutar en el nuevo Parque de la Ciencia Fundadores  de Toluca - No te lo pierd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4499" cy="3785806"/>
                        </a:xfrm>
                        <a:prstGeom prst="rect">
                          <a:avLst/>
                        </a:prstGeom>
                        <a:noFill/>
                        <a:ln>
                          <a:noFill/>
                        </a:ln>
                      </pic:spPr>
                    </pic:pic>
                  </a:graphicData>
                </a:graphic>
              </wp:inline>
            </w:drawing>
          </w:r>
        </w:p>
        <w:p w14:paraId="4B430777" w14:textId="69E28B72" w:rsidR="00B34E88" w:rsidRDefault="00B34E88" w:rsidP="00404C7D">
          <w:pPr>
            <w:spacing w:line="360" w:lineRule="auto"/>
            <w:jc w:val="both"/>
            <w:rPr>
              <w:rFonts w:ascii="Arial" w:hAnsi="Arial" w:cs="Arial"/>
            </w:rPr>
          </w:pPr>
          <w:r>
            <w:rPr>
              <w:rFonts w:ascii="Arial" w:hAnsi="Arial" w:cs="Arial"/>
            </w:rPr>
            <w:t>PARQUE DE LA CIENCIA FUNDADORES, TOLUCA; ESTADO DE MÉXICO.</w:t>
          </w:r>
        </w:p>
        <w:p w14:paraId="399CE5C6" w14:textId="749F9897" w:rsidR="003A3C69" w:rsidRDefault="003A3C69" w:rsidP="00404C7D">
          <w:pPr>
            <w:spacing w:line="360" w:lineRule="auto"/>
            <w:jc w:val="both"/>
            <w:rPr>
              <w:rFonts w:ascii="Arial" w:hAnsi="Arial" w:cs="Arial"/>
            </w:rPr>
          </w:pPr>
          <w:r>
            <w:rPr>
              <w:rFonts w:ascii="Arial" w:hAnsi="Arial" w:cs="Arial"/>
            </w:rPr>
            <w:t>Se contemplan acciones para:</w:t>
          </w:r>
        </w:p>
        <w:p w14:paraId="2CD4AA9C" w14:textId="712CA679" w:rsidR="003A3C69" w:rsidRDefault="003A3C69" w:rsidP="00404C7D">
          <w:pPr>
            <w:pStyle w:val="Prrafodelista"/>
            <w:numPr>
              <w:ilvl w:val="0"/>
              <w:numId w:val="43"/>
            </w:numPr>
            <w:spacing w:after="160" w:line="360" w:lineRule="auto"/>
            <w:jc w:val="both"/>
            <w:rPr>
              <w:rFonts w:ascii="Arial" w:hAnsi="Arial" w:cs="Arial"/>
            </w:rPr>
          </w:pPr>
          <w:r>
            <w:rPr>
              <w:rFonts w:ascii="Arial" w:hAnsi="Arial" w:cs="Arial"/>
            </w:rPr>
            <w:t>Promover medidas que permitan mantener un parque vehicular más limpio.</w:t>
          </w:r>
        </w:p>
        <w:p w14:paraId="75A1EB20" w14:textId="77777777" w:rsidR="003A3C69" w:rsidRDefault="003A3C69" w:rsidP="00404C7D">
          <w:pPr>
            <w:spacing w:line="360" w:lineRule="auto"/>
            <w:jc w:val="both"/>
            <w:rPr>
              <w:rFonts w:ascii="Arial" w:hAnsi="Arial" w:cs="Arial"/>
            </w:rPr>
          </w:pPr>
          <w:r>
            <w:rPr>
              <w:rFonts w:ascii="Arial" w:hAnsi="Arial" w:cs="Arial"/>
            </w:rPr>
            <w:t>La verificación vehicular es una actividad de evaluación y control de emisiones contaminantes a la atmósfera, que permite mantener los vehículos automotores dentro de los niveles establecidos en la normatividad aplicable vigente.</w:t>
          </w:r>
        </w:p>
        <w:p w14:paraId="5FC61D44" w14:textId="63A60F23" w:rsidR="003A3C69" w:rsidRDefault="003A3C69" w:rsidP="00404C7D">
          <w:pPr>
            <w:pStyle w:val="Prrafodelista"/>
            <w:numPr>
              <w:ilvl w:val="0"/>
              <w:numId w:val="43"/>
            </w:numPr>
            <w:spacing w:after="160" w:line="360" w:lineRule="auto"/>
            <w:jc w:val="both"/>
            <w:rPr>
              <w:rFonts w:ascii="Arial" w:hAnsi="Arial" w:cs="Arial"/>
            </w:rPr>
          </w:pPr>
          <w:r>
            <w:rPr>
              <w:rFonts w:ascii="Arial" w:hAnsi="Arial" w:cs="Arial"/>
            </w:rPr>
            <w:t>Impulsar el saneamiento a tiraderos clandestinos en apego a la normatividad ambiental.</w:t>
          </w:r>
        </w:p>
        <w:p w14:paraId="4E5D903F" w14:textId="54A663A6" w:rsidR="003A3C69" w:rsidRDefault="003A3C69" w:rsidP="00404C7D">
          <w:pPr>
            <w:pStyle w:val="Prrafodelista"/>
            <w:numPr>
              <w:ilvl w:val="0"/>
              <w:numId w:val="43"/>
            </w:numPr>
            <w:spacing w:after="160" w:line="360" w:lineRule="auto"/>
            <w:jc w:val="both"/>
            <w:rPr>
              <w:rFonts w:ascii="Arial" w:hAnsi="Arial" w:cs="Arial"/>
            </w:rPr>
          </w:pPr>
          <w:r>
            <w:rPr>
              <w:rFonts w:ascii="Arial" w:hAnsi="Arial" w:cs="Arial"/>
            </w:rPr>
            <w:t>Establecer una visión metropolitana en la gestión de residuos sólidos urbanos.</w:t>
          </w:r>
        </w:p>
        <w:p w14:paraId="767392DB" w14:textId="3DDED149" w:rsidR="003A3C69" w:rsidRDefault="003A3C69" w:rsidP="00404C7D">
          <w:pPr>
            <w:pStyle w:val="Prrafodelista"/>
            <w:numPr>
              <w:ilvl w:val="0"/>
              <w:numId w:val="43"/>
            </w:numPr>
            <w:spacing w:after="160" w:line="360" w:lineRule="auto"/>
            <w:jc w:val="both"/>
            <w:rPr>
              <w:rFonts w:ascii="Arial" w:hAnsi="Arial" w:cs="Arial"/>
            </w:rPr>
          </w:pPr>
          <w:r>
            <w:rPr>
              <w:rFonts w:ascii="Arial" w:hAnsi="Arial" w:cs="Arial"/>
            </w:rPr>
            <w:t>Fomentar el desarrollo, transferencia divulgación y difusión de tecnologías, equipos y procesos para la adaptación al cambio climático.</w:t>
          </w:r>
        </w:p>
        <w:p w14:paraId="4AD5D0D2" w14:textId="12CA2028" w:rsidR="003A3C69" w:rsidRDefault="003A3C69" w:rsidP="00404C7D">
          <w:pPr>
            <w:pStyle w:val="Prrafodelista"/>
            <w:numPr>
              <w:ilvl w:val="0"/>
              <w:numId w:val="43"/>
            </w:numPr>
            <w:spacing w:after="160" w:line="360" w:lineRule="auto"/>
            <w:jc w:val="both"/>
            <w:rPr>
              <w:rFonts w:ascii="Arial" w:hAnsi="Arial" w:cs="Arial"/>
            </w:rPr>
          </w:pPr>
          <w:r>
            <w:rPr>
              <w:rFonts w:ascii="Arial" w:hAnsi="Arial" w:cs="Arial"/>
            </w:rPr>
            <w:t>Impulsar acciones de prevención y atención oportuna ante desastres naturales y antropogénicos.</w:t>
          </w:r>
        </w:p>
        <w:p w14:paraId="6F405C0B" w14:textId="2877B207" w:rsidR="00897B9C" w:rsidRPr="00897B9C" w:rsidRDefault="00897B9C" w:rsidP="00404C7D">
          <w:pPr>
            <w:pStyle w:val="Prrafodelista"/>
            <w:numPr>
              <w:ilvl w:val="0"/>
              <w:numId w:val="43"/>
            </w:numPr>
            <w:spacing w:after="160" w:line="360" w:lineRule="auto"/>
            <w:jc w:val="both"/>
            <w:rPr>
              <w:rFonts w:ascii="Arial" w:hAnsi="Arial" w:cs="Arial"/>
            </w:rPr>
          </w:pPr>
          <w:r>
            <w:rPr>
              <w:rFonts w:ascii="Arial" w:hAnsi="Arial" w:cs="Arial"/>
            </w:rPr>
            <w:t>Fomentar la recuperación de las Áreas Naturales Protegidas desprovistas de cubierta forestal.</w:t>
          </w:r>
        </w:p>
        <w:p w14:paraId="07B8EC79" w14:textId="11F49651" w:rsidR="003A3C69" w:rsidRDefault="000E6E83" w:rsidP="00404C7D">
          <w:pPr>
            <w:pStyle w:val="Prrafodelista"/>
            <w:numPr>
              <w:ilvl w:val="0"/>
              <w:numId w:val="43"/>
            </w:numPr>
            <w:spacing w:after="160" w:line="360" w:lineRule="auto"/>
            <w:jc w:val="both"/>
            <w:rPr>
              <w:rFonts w:ascii="Arial" w:hAnsi="Arial" w:cs="Arial"/>
            </w:rPr>
          </w:pPr>
          <w:r>
            <w:rPr>
              <w:rFonts w:ascii="Arial" w:hAnsi="Arial" w:cs="Arial"/>
            </w:rPr>
            <w:t>Cuidado al medio ambiente.</w:t>
          </w:r>
        </w:p>
        <w:p w14:paraId="32848AB2" w14:textId="615E7A30" w:rsidR="003A3C69" w:rsidRDefault="003A3C69" w:rsidP="00404C7D">
          <w:pPr>
            <w:pStyle w:val="Prrafodelista"/>
            <w:numPr>
              <w:ilvl w:val="0"/>
              <w:numId w:val="43"/>
            </w:numPr>
            <w:spacing w:after="160" w:line="360" w:lineRule="auto"/>
            <w:jc w:val="both"/>
            <w:rPr>
              <w:rFonts w:ascii="Arial" w:hAnsi="Arial" w:cs="Arial"/>
            </w:rPr>
          </w:pPr>
          <w:r>
            <w:rPr>
              <w:rFonts w:ascii="Arial" w:hAnsi="Arial" w:cs="Arial"/>
            </w:rPr>
            <w:t>A</w:t>
          </w:r>
          <w:r w:rsidR="000E6E83">
            <w:rPr>
              <w:rFonts w:ascii="Arial" w:hAnsi="Arial" w:cs="Arial"/>
            </w:rPr>
            <w:t>cciones para el clima.</w:t>
          </w:r>
        </w:p>
        <w:p w14:paraId="21C9AA3B" w14:textId="2133A673" w:rsidR="003A3C69" w:rsidRDefault="000E6E83" w:rsidP="00404C7D">
          <w:pPr>
            <w:pStyle w:val="Prrafodelista"/>
            <w:numPr>
              <w:ilvl w:val="0"/>
              <w:numId w:val="43"/>
            </w:numPr>
            <w:spacing w:after="160" w:line="360" w:lineRule="auto"/>
            <w:jc w:val="both"/>
            <w:rPr>
              <w:rFonts w:ascii="Arial" w:hAnsi="Arial" w:cs="Arial"/>
            </w:rPr>
          </w:pPr>
          <w:r>
            <w:rPr>
              <w:rFonts w:ascii="Arial" w:hAnsi="Arial" w:cs="Arial"/>
            </w:rPr>
            <w:t>Calidad del aire y gestión de desechos sólidos</w:t>
          </w:r>
          <w:r w:rsidR="003A3C69">
            <w:rPr>
              <w:rFonts w:ascii="Arial" w:hAnsi="Arial" w:cs="Arial"/>
            </w:rPr>
            <w:t xml:space="preserve">. </w:t>
          </w:r>
        </w:p>
        <w:p w14:paraId="50944B8F" w14:textId="583165EA" w:rsidR="003A3C69" w:rsidRDefault="000E6E83" w:rsidP="00404C7D">
          <w:pPr>
            <w:pStyle w:val="Prrafodelista"/>
            <w:numPr>
              <w:ilvl w:val="0"/>
              <w:numId w:val="43"/>
            </w:numPr>
            <w:spacing w:after="160" w:line="360" w:lineRule="auto"/>
            <w:jc w:val="both"/>
            <w:rPr>
              <w:rFonts w:ascii="Arial" w:hAnsi="Arial" w:cs="Arial"/>
            </w:rPr>
          </w:pPr>
          <w:r>
            <w:rPr>
              <w:rFonts w:ascii="Arial" w:hAnsi="Arial" w:cs="Arial"/>
            </w:rPr>
            <w:t xml:space="preserve">Mejorar la capacidad de reacción del estado ante una emergencia. </w:t>
          </w:r>
        </w:p>
        <w:p w14:paraId="13EC12E9" w14:textId="68460D53" w:rsidR="00897B9C" w:rsidRPr="00897B9C" w:rsidRDefault="000E6E83" w:rsidP="00404C7D">
          <w:pPr>
            <w:pStyle w:val="Prrafodelista"/>
            <w:numPr>
              <w:ilvl w:val="0"/>
              <w:numId w:val="43"/>
            </w:numPr>
            <w:spacing w:after="160" w:line="360" w:lineRule="auto"/>
            <w:jc w:val="both"/>
            <w:rPr>
              <w:rFonts w:ascii="Arial" w:hAnsi="Arial" w:cs="Arial"/>
            </w:rPr>
          </w:pPr>
          <w:r>
            <w:rPr>
              <w:rFonts w:ascii="Arial" w:hAnsi="Arial" w:cs="Arial"/>
            </w:rPr>
            <w:t xml:space="preserve">Cultura de prevención en protección civil. </w:t>
          </w:r>
        </w:p>
        <w:p w14:paraId="44F082C9" w14:textId="1B809050" w:rsidR="003A3C69" w:rsidRPr="00897B9C" w:rsidRDefault="00897B9C" w:rsidP="00404C7D">
          <w:pPr>
            <w:spacing w:after="160" w:line="360" w:lineRule="auto"/>
            <w:ind w:left="360"/>
            <w:jc w:val="both"/>
            <w:rPr>
              <w:rFonts w:ascii="Arial" w:hAnsi="Arial" w:cs="Arial"/>
            </w:rPr>
          </w:pPr>
          <w:r>
            <w:rPr>
              <w:rFonts w:ascii="Arial" w:hAnsi="Arial" w:cs="Arial"/>
            </w:rPr>
            <w:t>D</w:t>
          </w:r>
          <w:r w:rsidR="003A3C69" w:rsidRPr="00897B9C">
            <w:rPr>
              <w:rFonts w:ascii="Arial" w:hAnsi="Arial" w:cs="Arial"/>
            </w:rPr>
            <w:t>erivado de las medidas preventivas implementadas a causa del SARS-COV-2 y como una estrategia para prevenir la propagación del virus, la supervisión en los parques ha sido fundamental, ya que se ha verificado el cumplimiento de las medidas establecidas para su prevención y atención. De esta manera se contribuye a salvaguardar la salud de los visitantes y del personal operativo que brinda el servicio.</w:t>
          </w:r>
          <w:r w:rsidRPr="00897B9C">
            <w:rPr>
              <w:rFonts w:ascii="Arial" w:hAnsi="Arial" w:cs="Arial"/>
            </w:rPr>
            <w:t xml:space="preserve"> </w:t>
          </w:r>
        </w:p>
        <w:p w14:paraId="06A9B348" w14:textId="633E29B2" w:rsidR="003A3C69" w:rsidRDefault="00897B9C" w:rsidP="00404C7D">
          <w:pPr>
            <w:spacing w:line="360" w:lineRule="auto"/>
            <w:ind w:left="360"/>
            <w:jc w:val="both"/>
            <w:rPr>
              <w:rFonts w:ascii="Arial" w:hAnsi="Arial" w:cs="Arial"/>
            </w:rPr>
          </w:pPr>
          <w:r>
            <w:rPr>
              <w:rFonts w:ascii="Arial" w:hAnsi="Arial" w:cs="Arial"/>
            </w:rPr>
            <w:t>Otro aspecto a contemplar, es e</w:t>
          </w:r>
          <w:r w:rsidR="003A3C69">
            <w:rPr>
              <w:rFonts w:ascii="Arial" w:hAnsi="Arial" w:cs="Arial"/>
            </w:rPr>
            <w:t>l abasto de agua potable en el Estado de México</w:t>
          </w:r>
          <w:r>
            <w:rPr>
              <w:rFonts w:ascii="Arial" w:hAnsi="Arial" w:cs="Arial"/>
            </w:rPr>
            <w:t xml:space="preserve">; el cual </w:t>
          </w:r>
          <w:r w:rsidR="003A3C69">
            <w:rPr>
              <w:rFonts w:ascii="Arial" w:hAnsi="Arial" w:cs="Arial"/>
            </w:rPr>
            <w:t>presenta cinco grandes problemas:</w:t>
          </w:r>
        </w:p>
        <w:p w14:paraId="62D26AE7" w14:textId="77777777" w:rsidR="00897B9C" w:rsidRDefault="00897B9C" w:rsidP="00830B0F">
          <w:pPr>
            <w:spacing w:line="360" w:lineRule="auto"/>
            <w:ind w:left="360"/>
            <w:jc w:val="right"/>
            <w:rPr>
              <w:rFonts w:ascii="Arial" w:hAnsi="Arial" w:cs="Arial"/>
            </w:rPr>
          </w:pPr>
        </w:p>
        <w:p w14:paraId="383C3AE7" w14:textId="0C092E3B" w:rsidR="003A3C69" w:rsidRDefault="00897B9C" w:rsidP="00830B0F">
          <w:pPr>
            <w:spacing w:line="276" w:lineRule="auto"/>
            <w:ind w:left="360"/>
            <w:jc w:val="right"/>
            <w:rPr>
              <w:rFonts w:ascii="Arial" w:hAnsi="Arial" w:cs="Arial"/>
            </w:rPr>
          </w:pPr>
          <w:r>
            <w:rPr>
              <w:rFonts w:ascii="Arial" w:hAnsi="Arial" w:cs="Arial"/>
              <w:noProof/>
              <w:lang w:eastAsia="es-MX"/>
            </w:rPr>
            <w:drawing>
              <wp:inline distT="0" distB="0" distL="0" distR="0" wp14:anchorId="2A736254" wp14:editId="64A5A079">
                <wp:extent cx="5288915" cy="3995225"/>
                <wp:effectExtent l="0" t="0" r="0" b="43815"/>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06646A3" w14:textId="35BAD235" w:rsidR="009A6ADD" w:rsidRDefault="00897B9C" w:rsidP="000C5F25">
          <w:pPr>
            <w:spacing w:line="276" w:lineRule="auto"/>
            <w:jc w:val="center"/>
            <w:rPr>
              <w:rFonts w:ascii="Arial" w:hAnsi="Arial" w:cs="Arial"/>
            </w:rPr>
          </w:pPr>
          <w:r>
            <w:rPr>
              <w:rFonts w:ascii="Arial" w:hAnsi="Arial" w:cs="Arial"/>
            </w:rPr>
            <w:t>ELABORACIÓN PROPIA.</w:t>
          </w:r>
        </w:p>
        <w:p w14:paraId="5B1F04C2" w14:textId="50066795" w:rsidR="00B34E88" w:rsidRDefault="00B34E88" w:rsidP="00830B0F">
          <w:pPr>
            <w:spacing w:line="276" w:lineRule="auto"/>
            <w:jc w:val="right"/>
            <w:rPr>
              <w:rFonts w:ascii="Arial" w:hAnsi="Arial" w:cs="Arial"/>
            </w:rPr>
          </w:pPr>
        </w:p>
        <w:p w14:paraId="20C0A88E" w14:textId="1A0F18DE" w:rsidR="00B34E88" w:rsidRDefault="00B34E88" w:rsidP="00830B0F">
          <w:pPr>
            <w:spacing w:line="276" w:lineRule="auto"/>
            <w:jc w:val="right"/>
            <w:rPr>
              <w:rFonts w:ascii="Arial" w:hAnsi="Arial" w:cs="Arial"/>
            </w:rPr>
          </w:pPr>
        </w:p>
        <w:p w14:paraId="5039C8DA" w14:textId="330C8448" w:rsidR="00B34E88" w:rsidRDefault="00B34E88" w:rsidP="00830B0F">
          <w:pPr>
            <w:spacing w:line="276" w:lineRule="auto"/>
            <w:jc w:val="right"/>
            <w:rPr>
              <w:rFonts w:ascii="Arial" w:hAnsi="Arial" w:cs="Arial"/>
            </w:rPr>
          </w:pPr>
        </w:p>
        <w:p w14:paraId="023B9F44" w14:textId="4459B6C4" w:rsidR="00B34E88" w:rsidRDefault="00B34E88" w:rsidP="00830B0F">
          <w:pPr>
            <w:spacing w:line="276" w:lineRule="auto"/>
            <w:jc w:val="right"/>
            <w:rPr>
              <w:rFonts w:ascii="Arial" w:hAnsi="Arial" w:cs="Arial"/>
            </w:rPr>
          </w:pPr>
        </w:p>
        <w:p w14:paraId="40C5467C" w14:textId="6B2DE640" w:rsidR="00B34E88" w:rsidRDefault="00B34E88" w:rsidP="00830B0F">
          <w:pPr>
            <w:spacing w:line="276" w:lineRule="auto"/>
            <w:jc w:val="right"/>
            <w:rPr>
              <w:rFonts w:ascii="Arial" w:hAnsi="Arial" w:cs="Arial"/>
            </w:rPr>
          </w:pPr>
        </w:p>
        <w:p w14:paraId="5AE711F8" w14:textId="77777777" w:rsidR="00B34E88" w:rsidRDefault="00B34E88" w:rsidP="00830B0F">
          <w:pPr>
            <w:spacing w:line="276" w:lineRule="auto"/>
            <w:jc w:val="right"/>
            <w:rPr>
              <w:rFonts w:ascii="Arial" w:hAnsi="Arial" w:cs="Arial"/>
            </w:rPr>
          </w:pPr>
        </w:p>
        <w:p w14:paraId="18CBF5EC" w14:textId="77777777" w:rsidR="00B34E88" w:rsidRDefault="00B34E88" w:rsidP="00830B0F">
          <w:pPr>
            <w:spacing w:line="276" w:lineRule="auto"/>
            <w:jc w:val="right"/>
            <w:rPr>
              <w:rFonts w:ascii="Arial" w:hAnsi="Arial" w:cs="Arial"/>
            </w:rPr>
          </w:pPr>
        </w:p>
        <w:p w14:paraId="21E05C65" w14:textId="77777777" w:rsidR="00897B9C" w:rsidRDefault="00897B9C" w:rsidP="00830B0F">
          <w:pPr>
            <w:spacing w:line="276" w:lineRule="auto"/>
            <w:jc w:val="right"/>
            <w:rPr>
              <w:rFonts w:ascii="Arial" w:hAnsi="Arial" w:cs="Arial"/>
            </w:rPr>
          </w:pPr>
        </w:p>
        <w:p w14:paraId="3ECD6317" w14:textId="0A0BF28D" w:rsidR="00897B9C" w:rsidRPr="00897B9C" w:rsidRDefault="00897B9C" w:rsidP="002A2D54">
          <w:pPr>
            <w:spacing w:line="360" w:lineRule="auto"/>
            <w:rPr>
              <w:rFonts w:ascii="Arial" w:hAnsi="Arial" w:cs="Arial"/>
              <w:b/>
              <w:bCs/>
              <w:color w:val="2F5496" w:themeColor="accent1" w:themeShade="BF"/>
            </w:rPr>
          </w:pPr>
          <w:bookmarkStart w:id="17" w:name="_Toc90995816"/>
          <w:r w:rsidRPr="009D5257">
            <w:rPr>
              <w:rStyle w:val="Ttulo3Car"/>
            </w:rPr>
            <w:t>ACCESIBILIDAD EN LA CIUDAD Y ESPACIO PÚBLICO</w:t>
          </w:r>
          <w:bookmarkEnd w:id="17"/>
          <w:r w:rsidRPr="00897B9C">
            <w:rPr>
              <w:rFonts w:ascii="Arial" w:hAnsi="Arial" w:cs="Arial"/>
              <w:b/>
              <w:bCs/>
              <w:color w:val="2F5496" w:themeColor="accent1" w:themeShade="BF"/>
            </w:rPr>
            <w:t>.</w:t>
          </w:r>
        </w:p>
        <w:p w14:paraId="29A637AA" w14:textId="0E8908E3" w:rsidR="003A3C69" w:rsidRDefault="009A6ADD" w:rsidP="000C5F25">
          <w:pPr>
            <w:spacing w:line="360" w:lineRule="auto"/>
            <w:jc w:val="both"/>
            <w:rPr>
              <w:rFonts w:ascii="Arial" w:hAnsi="Arial" w:cs="Arial"/>
            </w:rPr>
          </w:pPr>
          <w:r>
            <w:rPr>
              <w:noProof/>
              <w:lang w:eastAsia="es-MX"/>
            </w:rPr>
            <w:drawing>
              <wp:anchor distT="0" distB="0" distL="114300" distR="114300" simplePos="0" relativeHeight="251672576" behindDoc="0" locked="0" layoutInCell="1" allowOverlap="1" wp14:anchorId="28D56004" wp14:editId="722F2285">
                <wp:simplePos x="0" y="0"/>
                <wp:positionH relativeFrom="margin">
                  <wp:posOffset>2963594</wp:posOffset>
                </wp:positionH>
                <wp:positionV relativeFrom="margin">
                  <wp:posOffset>379730</wp:posOffset>
                </wp:positionV>
                <wp:extent cx="2644775" cy="2025650"/>
                <wp:effectExtent l="0" t="0" r="3175" b="0"/>
                <wp:wrapSquare wrapText="bothSides"/>
                <wp:docPr id="34" name="Imagen 34" descr="Centro de Atención Telefónica | Portal Ciudadano del Gobierno del Estado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ntro de Atención Telefónica | Portal Ciudadano del Gobierno del Estado de  Méxic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4775" cy="2025650"/>
                        </a:xfrm>
                        <a:prstGeom prst="rect">
                          <a:avLst/>
                        </a:prstGeom>
                        <a:noFill/>
                        <a:ln>
                          <a:noFill/>
                        </a:ln>
                      </pic:spPr>
                    </pic:pic>
                  </a:graphicData>
                </a:graphic>
              </wp:anchor>
            </w:drawing>
          </w:r>
          <w:r w:rsidR="003A3C69">
            <w:rPr>
              <w:rFonts w:ascii="Arial" w:hAnsi="Arial" w:cs="Arial"/>
            </w:rPr>
            <w:t xml:space="preserve">La estructura interna de las ciudades determina qué tan fácil es el acceso que tienen los habitantes al conjunto de oportunidades que en ellas se concentran: servicios públicos como la educación y la salud, suelo apto para habitar, así como empleos y espacios recreativos. Dicha estructura está influenciada por procesos de planeación urbana que tienen por objetivo procurar un balance en los usos de suelo que facilite la coexistencia y el flujo armonioso de personas y mercancías. </w:t>
          </w:r>
        </w:p>
        <w:p w14:paraId="68B250B1" w14:textId="064B7BFE" w:rsidR="003A3C69" w:rsidRDefault="003A3C69" w:rsidP="008F0A00">
          <w:pPr>
            <w:spacing w:line="360" w:lineRule="auto"/>
            <w:jc w:val="both"/>
            <w:rPr>
              <w:rFonts w:ascii="Arial" w:hAnsi="Arial" w:cs="Arial"/>
            </w:rPr>
          </w:pPr>
          <w:r>
            <w:rPr>
              <w:rFonts w:ascii="Arial" w:hAnsi="Arial" w:cs="Arial"/>
            </w:rPr>
            <w:t xml:space="preserve">Una estructura urbana basada en la accesibilidad a servicios públicos, infraestructura, equipamientos y fuentes de empleo, debería promover que más población mexiquense pueda alcanzar oportunidades de desarrollo y calidad de vida. </w:t>
          </w:r>
        </w:p>
        <w:p w14:paraId="1BCE91A3" w14:textId="29BDBCA3" w:rsidR="003A3C69" w:rsidRDefault="003A3C69" w:rsidP="008F0A00">
          <w:pPr>
            <w:spacing w:line="360" w:lineRule="auto"/>
            <w:jc w:val="both"/>
            <w:rPr>
              <w:rFonts w:ascii="Arial" w:hAnsi="Arial" w:cs="Arial"/>
            </w:rPr>
          </w:pPr>
          <w:r>
            <w:rPr>
              <w:rFonts w:ascii="Arial" w:hAnsi="Arial" w:cs="Arial"/>
            </w:rPr>
            <w:t>Para lograr lo anterior, el Estado de México se enfrenta a dos retos prioritarios: el desequilibrio entre la ubicación de la vivienda, del empleo y de los equipamientos y; la falta de acceso a espacios públicos de calidad.</w:t>
          </w:r>
          <w:r w:rsidR="009A6ADD" w:rsidRPr="009A6ADD">
            <w:t xml:space="preserve"> </w:t>
          </w:r>
        </w:p>
        <w:p w14:paraId="5EB5CCF1" w14:textId="6EFA7B86" w:rsidR="003A3C69" w:rsidRDefault="009A6ADD" w:rsidP="00140514">
          <w:pPr>
            <w:spacing w:line="360" w:lineRule="auto"/>
            <w:jc w:val="both"/>
            <w:rPr>
              <w:rFonts w:ascii="Arial" w:hAnsi="Arial" w:cs="Arial"/>
            </w:rPr>
          </w:pPr>
          <w:r>
            <w:rPr>
              <w:noProof/>
              <w:lang w:eastAsia="es-MX"/>
            </w:rPr>
            <w:drawing>
              <wp:anchor distT="0" distB="0" distL="114300" distR="114300" simplePos="0" relativeHeight="251673600" behindDoc="0" locked="0" layoutInCell="1" allowOverlap="1" wp14:anchorId="7F3A0C68" wp14:editId="6E843A26">
                <wp:simplePos x="0" y="0"/>
                <wp:positionH relativeFrom="margin">
                  <wp:posOffset>2540</wp:posOffset>
                </wp:positionH>
                <wp:positionV relativeFrom="margin">
                  <wp:posOffset>4150360</wp:posOffset>
                </wp:positionV>
                <wp:extent cx="1743710" cy="1631315"/>
                <wp:effectExtent l="0" t="0" r="8890" b="6985"/>
                <wp:wrapSquare wrapText="bothSides"/>
                <wp:docPr id="36" name="Imagen 36" descr="Aumento del pasaje en el Valle de Toluca ¿es justo? - Cadena Pol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mento del pasaje en el Valle de Toluca ¿es justo? - Cadena Polític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3710"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C69">
            <w:rPr>
              <w:rFonts w:ascii="Arial" w:hAnsi="Arial" w:cs="Arial"/>
            </w:rPr>
            <w:t>Un reto para impulsar la accesibilidad en las ciudades, es garantizar la movilidad y el transporte de la población que habita y transita en territorio mexiquense. El dinámico crecimiento demográfico de la entidad, aunado a la falta de vinculación entre las políticas de desarrollo urbano y movilidad, han dado origen a una problemática compleja, que se refleja en sistemas de transporte público deficientes, congestionamiento vial, contaminación ambiental, ruido, accidentes, inseguridad y exclusión social, entre otros, que limitan la productividad de las ciudades y afectan de manera importante la salud y la calidad de vida de la población.</w:t>
          </w:r>
          <w:r w:rsidRPr="009A6ADD">
            <w:t xml:space="preserve"> </w:t>
          </w:r>
        </w:p>
        <w:p w14:paraId="7F841243" w14:textId="51ED7C8C" w:rsidR="003A3C69" w:rsidRDefault="003A3C69" w:rsidP="00830B0F">
          <w:pPr>
            <w:spacing w:line="276" w:lineRule="auto"/>
            <w:jc w:val="right"/>
            <w:rPr>
              <w:rFonts w:ascii="Arial" w:hAnsi="Arial" w:cs="Arial"/>
            </w:rPr>
          </w:pPr>
          <w:r>
            <w:rPr>
              <w:rFonts w:eastAsiaTheme="minorHAnsi"/>
              <w:noProof/>
              <w:sz w:val="22"/>
              <w:szCs w:val="22"/>
              <w:lang w:eastAsia="es-MX"/>
            </w:rPr>
            <w:drawing>
              <wp:inline distT="0" distB="0" distL="0" distR="0" wp14:anchorId="3F7F5415" wp14:editId="3C02C933">
                <wp:extent cx="5500370" cy="3207385"/>
                <wp:effectExtent l="0" t="0" r="5080" b="1206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787B0EC" w14:textId="55D338D6" w:rsidR="001C333A" w:rsidRPr="001C333A" w:rsidRDefault="001C333A" w:rsidP="006C62BB">
          <w:pPr>
            <w:spacing w:after="160" w:line="276" w:lineRule="auto"/>
            <w:jc w:val="both"/>
            <w:rPr>
              <w:rFonts w:ascii="Arial" w:hAnsi="Arial" w:cs="Arial"/>
            </w:rPr>
          </w:pPr>
          <w:r>
            <w:rPr>
              <w:rFonts w:ascii="Arial" w:hAnsi="Arial" w:cs="Arial"/>
            </w:rPr>
            <w:t xml:space="preserve">Ingresos y egresos que contiene la cuenta pública 2020, están destinados para: </w:t>
          </w:r>
        </w:p>
        <w:p w14:paraId="08BD96F2" w14:textId="6CA74179"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Transporte público.</w:t>
          </w:r>
        </w:p>
        <w:p w14:paraId="6C54661A"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Espacios culturales y educativos.</w:t>
          </w:r>
        </w:p>
        <w:p w14:paraId="7CDDE961"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Espacios productivos.</w:t>
          </w:r>
        </w:p>
        <w:p w14:paraId="684F2AD8"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 xml:space="preserve">Infraestructura de seguridad y justicia. </w:t>
          </w:r>
        </w:p>
        <w:p w14:paraId="402B7D01"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 xml:space="preserve">Ordenamiento del transporte público del Estado de México. </w:t>
          </w:r>
        </w:p>
        <w:p w14:paraId="5F6775B7"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 xml:space="preserve">Modernización del transporte público. </w:t>
          </w:r>
        </w:p>
        <w:p w14:paraId="1F1BCBF8"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 xml:space="preserve">Sistemas de seguridad en el transporte público. </w:t>
          </w:r>
        </w:p>
        <w:p w14:paraId="086C9E72"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Sistemas de transporte masivo y teleférico del Estado de México.</w:t>
          </w:r>
        </w:p>
        <w:p w14:paraId="4A073B7A"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 xml:space="preserve">Inclusión social. </w:t>
          </w:r>
        </w:p>
        <w:p w14:paraId="12819CC7" w14:textId="77777777" w:rsidR="003A3C69" w:rsidRDefault="003A3C69" w:rsidP="006C62BB">
          <w:pPr>
            <w:pStyle w:val="Prrafodelista"/>
            <w:numPr>
              <w:ilvl w:val="0"/>
              <w:numId w:val="43"/>
            </w:numPr>
            <w:spacing w:after="160" w:line="276" w:lineRule="auto"/>
            <w:jc w:val="both"/>
            <w:rPr>
              <w:rFonts w:ascii="Arial" w:hAnsi="Arial" w:cs="Arial"/>
            </w:rPr>
          </w:pPr>
          <w:r>
            <w:rPr>
              <w:rFonts w:ascii="Arial" w:hAnsi="Arial" w:cs="Arial"/>
            </w:rPr>
            <w:t>Transporte rosa.</w:t>
          </w:r>
        </w:p>
        <w:p w14:paraId="11682F86" w14:textId="0222D33C" w:rsidR="003A3C69" w:rsidRDefault="00E642E2" w:rsidP="006C62BB">
          <w:pPr>
            <w:pStyle w:val="Prrafodelista"/>
            <w:numPr>
              <w:ilvl w:val="0"/>
              <w:numId w:val="43"/>
            </w:numPr>
            <w:spacing w:after="160" w:line="276" w:lineRule="auto"/>
            <w:jc w:val="both"/>
            <w:rPr>
              <w:rFonts w:ascii="Arial" w:hAnsi="Arial" w:cs="Arial"/>
            </w:rPr>
          </w:pPr>
          <w:r>
            <w:rPr>
              <w:rFonts w:ascii="Arial" w:hAnsi="Arial" w:cs="Arial"/>
            </w:rPr>
            <w:t>Ciclo vías</w:t>
          </w:r>
          <w:r w:rsidR="003A3C69">
            <w:rPr>
              <w:rFonts w:ascii="Arial" w:hAnsi="Arial" w:cs="Arial"/>
            </w:rPr>
            <w:t xml:space="preserve"> emergentes. </w:t>
          </w:r>
        </w:p>
        <w:p w14:paraId="4134D4EA" w14:textId="24A4E7F1" w:rsidR="001C333A" w:rsidRDefault="001C333A" w:rsidP="00830B0F">
          <w:pPr>
            <w:spacing w:after="160" w:line="276" w:lineRule="auto"/>
            <w:jc w:val="right"/>
            <w:rPr>
              <w:rFonts w:ascii="Arial" w:hAnsi="Arial" w:cs="Arial"/>
            </w:rPr>
          </w:pPr>
        </w:p>
        <w:p w14:paraId="6562BEDF" w14:textId="1841654E" w:rsidR="001C333A" w:rsidRDefault="001C333A" w:rsidP="00830B0F">
          <w:pPr>
            <w:spacing w:after="160" w:line="276" w:lineRule="auto"/>
            <w:jc w:val="right"/>
            <w:rPr>
              <w:rFonts w:ascii="Arial" w:hAnsi="Arial" w:cs="Arial"/>
            </w:rPr>
          </w:pPr>
        </w:p>
        <w:p w14:paraId="1FD81138" w14:textId="77777777" w:rsidR="001C333A" w:rsidRPr="001C333A" w:rsidRDefault="001C333A" w:rsidP="00830B0F">
          <w:pPr>
            <w:spacing w:after="160" w:line="276" w:lineRule="auto"/>
            <w:jc w:val="right"/>
            <w:rPr>
              <w:rFonts w:ascii="Arial" w:hAnsi="Arial" w:cs="Arial"/>
            </w:rPr>
          </w:pPr>
        </w:p>
        <w:p w14:paraId="64F3E81E" w14:textId="77777777" w:rsidR="003A3C69" w:rsidRPr="001C333A" w:rsidRDefault="003A3C69" w:rsidP="009F20F6">
          <w:pPr>
            <w:pStyle w:val="Ttulo2"/>
            <w:jc w:val="both"/>
          </w:pPr>
          <w:bookmarkStart w:id="18" w:name="_Toc90995817"/>
          <w:r w:rsidRPr="001C333A">
            <w:t>PILAR DE SEGURIDAD.</w:t>
          </w:r>
          <w:bookmarkEnd w:id="18"/>
        </w:p>
        <w:p w14:paraId="7C1CA8D4" w14:textId="77777777" w:rsidR="003A3C69" w:rsidRDefault="003A3C69" w:rsidP="00F1690D">
          <w:pPr>
            <w:spacing w:line="360" w:lineRule="auto"/>
            <w:jc w:val="both"/>
            <w:rPr>
              <w:rFonts w:ascii="Arial" w:hAnsi="Arial" w:cs="Arial"/>
            </w:rPr>
          </w:pPr>
          <w:r>
            <w:rPr>
              <w:rFonts w:ascii="Arial" w:hAnsi="Arial" w:cs="Arial"/>
            </w:rPr>
            <w:t xml:space="preserve">La seguridad pública se ha convertido en una exigencia social y centro de debate. Se reconoce que es un derecho humano de todos y cada uno de los habitantes de este país (mujeres, hombres, adolescentes, niñas y niños) y se asume que es obligación y deber del Estado proporcionarla. Está depositada en una serie de estructuras, a las que delega funciones con la finalidad de salvaguardar la integridad y derechos de las personas, así como de preservar la libertad, el orden y la paz social. </w:t>
          </w:r>
        </w:p>
        <w:p w14:paraId="7285B65D" w14:textId="77777777" w:rsidR="003A3C69" w:rsidRDefault="003A3C69" w:rsidP="00F1690D">
          <w:pPr>
            <w:spacing w:line="360" w:lineRule="auto"/>
            <w:jc w:val="both"/>
            <w:rPr>
              <w:rFonts w:ascii="Arial" w:hAnsi="Arial" w:cs="Arial"/>
            </w:rPr>
          </w:pPr>
          <w:r>
            <w:rPr>
              <w:rFonts w:ascii="Arial" w:hAnsi="Arial" w:cs="Arial"/>
            </w:rPr>
            <w:t xml:space="preserve">Esta función exige la coordinación de todos los órganos que imparten justicia en los tres órdenes de gobierno, intención a la que deben conjuntarse los esfuerzos de instituciones de desarrollo social, educación, salud, así como la sociedad civil organizada. Por ello la seguridad pública debe contar con una visión global e incluyente acorde con los valores que procuren una sociedad más justa. </w:t>
          </w:r>
        </w:p>
        <w:p w14:paraId="0EB1F69D" w14:textId="77777777" w:rsidR="003A3C69" w:rsidRDefault="003A3C69" w:rsidP="000D609B">
          <w:pPr>
            <w:spacing w:line="360" w:lineRule="auto"/>
            <w:jc w:val="both"/>
            <w:rPr>
              <w:rFonts w:ascii="Arial" w:hAnsi="Arial" w:cs="Arial"/>
            </w:rPr>
          </w:pPr>
          <w:r>
            <w:rPr>
              <w:rFonts w:ascii="Arial" w:hAnsi="Arial" w:cs="Arial"/>
            </w:rPr>
            <w:t>Es obligación del Estado proteger a la ciudadanía a través de un conjunto de leyes que establezcan la diferencia entre lo legal y lo ilegal e instituciones que apliquen esas normas, jueces que administran justicia y apliquen sanciones a quienes vulneran las leyes, así como centros para la ejecución de sentencias y rehabilitación de quienes han delinquido.</w:t>
          </w:r>
        </w:p>
        <w:p w14:paraId="5C4E9D01" w14:textId="77777777" w:rsidR="003A3C69" w:rsidRDefault="003A3C69" w:rsidP="000D609B">
          <w:pPr>
            <w:spacing w:line="360" w:lineRule="auto"/>
            <w:jc w:val="center"/>
            <w:rPr>
              <w:rFonts w:ascii="Arial" w:hAnsi="Arial" w:cs="Arial"/>
            </w:rPr>
          </w:pPr>
          <w:r>
            <w:rPr>
              <w:rFonts w:ascii="Arial" w:hAnsi="Arial" w:cs="Arial"/>
            </w:rPr>
            <w:t>Principales demandas de la población en materia de seguridad.</w:t>
          </w:r>
        </w:p>
        <w:p w14:paraId="4EEA2380" w14:textId="47D78E68" w:rsidR="003A3C69" w:rsidRDefault="003A3C69" w:rsidP="00830B0F">
          <w:pPr>
            <w:spacing w:line="276" w:lineRule="auto"/>
            <w:jc w:val="right"/>
            <w:rPr>
              <w:rFonts w:ascii="Arial" w:hAnsi="Arial" w:cs="Arial"/>
            </w:rPr>
          </w:pPr>
          <w:r>
            <w:rPr>
              <w:rFonts w:ascii="Arial" w:hAnsi="Arial" w:cs="Arial"/>
              <w:noProof/>
              <w:lang w:eastAsia="es-MX"/>
            </w:rPr>
            <w:drawing>
              <wp:inline distT="0" distB="0" distL="0" distR="0" wp14:anchorId="12C982A6" wp14:editId="4AF0A6B0">
                <wp:extent cx="5528603" cy="2180492"/>
                <wp:effectExtent l="0" t="0" r="0" b="10795"/>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760D42C" w14:textId="77777777" w:rsidR="003A3C69" w:rsidRDefault="003A3C69" w:rsidP="00830B0F">
          <w:pPr>
            <w:spacing w:line="276" w:lineRule="auto"/>
            <w:jc w:val="right"/>
            <w:rPr>
              <w:rFonts w:ascii="Arial" w:hAnsi="Arial" w:cs="Arial"/>
            </w:rPr>
          </w:pPr>
        </w:p>
        <w:p w14:paraId="28B85A54" w14:textId="77777777" w:rsidR="003A3C69" w:rsidRDefault="003A3C69" w:rsidP="000D609B">
          <w:pPr>
            <w:spacing w:line="360" w:lineRule="auto"/>
            <w:jc w:val="both"/>
            <w:rPr>
              <w:rFonts w:ascii="Arial" w:hAnsi="Arial" w:cs="Arial"/>
            </w:rPr>
          </w:pPr>
          <w:r>
            <w:rPr>
              <w:rFonts w:ascii="Arial" w:hAnsi="Arial" w:cs="Arial"/>
            </w:rPr>
            <w:t>El acceso a la justicia, además de ser un derecho, es una condición para la buena marcha de la sociedad, pues es la manera como se resuelven pacífica e institucionalmente los conflictos y diferencias inherentes a la vida en sociedad. Incrementar la confianza de la ciudadanía en las instituciones que procuran y administran la justicia, es un gran reto. El indicador de desconfianza más contundente es el que mide los delitos no denunciados ante el Ministerio Público, el cual es para el Estado de México de 94.6%.</w:t>
          </w:r>
        </w:p>
        <w:p w14:paraId="436E00C9" w14:textId="35024278" w:rsidR="003A3C69" w:rsidRDefault="003A3C69" w:rsidP="000D609B">
          <w:pPr>
            <w:spacing w:line="360" w:lineRule="auto"/>
            <w:jc w:val="both"/>
            <w:rPr>
              <w:rFonts w:ascii="Arial" w:hAnsi="Arial" w:cs="Arial"/>
            </w:rPr>
          </w:pPr>
          <w:r>
            <w:rPr>
              <w:rFonts w:ascii="Arial" w:hAnsi="Arial" w:cs="Arial"/>
            </w:rPr>
            <w:t>La procuración y administración de justicia son dos elementos esenciales de la cadena institucional en la cual se sustenta el Estado de Derecho. Las policías y el sistema penitenciario también constituyen piezas clave en la reducción de la impunidad. La Fiscalía General de Justicia del Estado de México, como órgano público autónomo tiene como tarea fundamental la investigación de los delitos, la construcción de expedientes judiciales y presentación ante los jueces de los presuntos responsables de los delitos, dentro del Nuevo Sistema de Justicia Penal Acusatorio. Que la Fiscalía General de Justicia del Estado de México</w:t>
          </w:r>
          <w:r w:rsidR="00482EC3">
            <w:rPr>
              <w:rFonts w:ascii="Arial" w:hAnsi="Arial" w:cs="Arial"/>
            </w:rPr>
            <w:t>,</w:t>
          </w:r>
          <w:r>
            <w:rPr>
              <w:rFonts w:ascii="Arial" w:hAnsi="Arial" w:cs="Arial"/>
            </w:rPr>
            <w:t xml:space="preserve"> se dote de todos los recursos humanos, técnicos, organizativos y necesarios para estar en capacidad de procurar justicia de calidad y lo haga con calidez, son objetivos imprescindibles. </w:t>
          </w:r>
        </w:p>
        <w:p w14:paraId="6E2108AA" w14:textId="77777777" w:rsidR="003A3C69" w:rsidRDefault="003A3C69" w:rsidP="000D609B">
          <w:pPr>
            <w:spacing w:line="360" w:lineRule="auto"/>
            <w:jc w:val="both"/>
            <w:rPr>
              <w:rFonts w:ascii="Arial" w:hAnsi="Arial" w:cs="Arial"/>
            </w:rPr>
          </w:pPr>
          <w:r>
            <w:rPr>
              <w:rFonts w:ascii="Arial" w:hAnsi="Arial" w:cs="Arial"/>
            </w:rPr>
            <w:t>Contar con una justicia penal oportuna y eficaz es sólo una parte del trabajo por realizar, ya que también se requiere procurar justicia en ámbitos como el familiar, civil, mercantil y laboral, los cuales presentan grandes oportunidades de mejora. La operación de la oralidad en dichas materias, implica el robustecimiento de las capacidades humanas y materiales de los diferentes operadores del sistema de justicia, así como de la cultura de la legalidad, la transparencia y la perspectiva de género. Lograr que esos campos de la justicia sean transformados radicalmente en favor de los afectados por las injusticias, tendrá incidencia en la calidad de vida de la población mexiquense.</w:t>
          </w:r>
        </w:p>
        <w:p w14:paraId="1B14B197" w14:textId="7D9B9D00" w:rsidR="00F80FE5" w:rsidRDefault="00F80FE5" w:rsidP="00830B0F">
          <w:pPr>
            <w:spacing w:line="360" w:lineRule="auto"/>
            <w:jc w:val="right"/>
            <w:rPr>
              <w:rFonts w:asciiTheme="majorHAnsi" w:eastAsiaTheme="majorEastAsia" w:hAnsiTheme="majorHAnsi" w:cstheme="majorBidi"/>
              <w:color w:val="2F5496" w:themeColor="accent1" w:themeShade="BF"/>
              <w:sz w:val="32"/>
              <w:szCs w:val="32"/>
            </w:rPr>
          </w:pPr>
        </w:p>
        <w:p w14:paraId="54A579DC" w14:textId="77777777" w:rsidR="007754E9" w:rsidRPr="00695E30" w:rsidRDefault="007754E9" w:rsidP="00830B0F">
          <w:pPr>
            <w:spacing w:line="360" w:lineRule="auto"/>
            <w:jc w:val="right"/>
            <w:rPr>
              <w:rFonts w:asciiTheme="majorHAnsi" w:eastAsiaTheme="majorEastAsia" w:hAnsiTheme="majorHAnsi" w:cstheme="majorBidi"/>
              <w:color w:val="2F5496" w:themeColor="accent1" w:themeShade="BF"/>
              <w:sz w:val="32"/>
              <w:szCs w:val="32"/>
            </w:rPr>
          </w:pPr>
        </w:p>
        <w:p w14:paraId="3E192C78" w14:textId="689A25EF" w:rsidR="00F80FE5" w:rsidRPr="00F80FE5" w:rsidRDefault="00695E30" w:rsidP="00830B0F">
          <w:pPr>
            <w:spacing w:line="360" w:lineRule="auto"/>
            <w:jc w:val="right"/>
          </w:pPr>
          <w:r>
            <w:br w:type="page"/>
          </w:r>
        </w:p>
        <w:p w14:paraId="600F2E5B" w14:textId="7C67BAB5" w:rsidR="00CA726D" w:rsidRPr="00CA726D" w:rsidRDefault="00CA726D" w:rsidP="00D77A80">
          <w:pPr>
            <w:pStyle w:val="Ttulo1"/>
            <w:jc w:val="both"/>
          </w:pPr>
          <w:bookmarkStart w:id="19" w:name="_Toc90995819"/>
          <w:r>
            <w:rPr>
              <w:noProof/>
              <w:lang w:eastAsia="es-MX"/>
            </w:rPr>
            <w:drawing>
              <wp:anchor distT="0" distB="0" distL="114300" distR="114300" simplePos="0" relativeHeight="251674624" behindDoc="0" locked="0" layoutInCell="1" allowOverlap="1" wp14:anchorId="788E4284" wp14:editId="1EFC03B4">
                <wp:simplePos x="0" y="0"/>
                <wp:positionH relativeFrom="margin">
                  <wp:posOffset>2872105</wp:posOffset>
                </wp:positionH>
                <wp:positionV relativeFrom="margin">
                  <wp:posOffset>421982</wp:posOffset>
                </wp:positionV>
                <wp:extent cx="2742565" cy="2428875"/>
                <wp:effectExtent l="0" t="0" r="635" b="9525"/>
                <wp:wrapSquare wrapText="bothSides"/>
                <wp:docPr id="38" name="Imagen 38" descr="Más contundencia contra la violencia de género. Valórame, no me maltrates.  - UGT Enseñanza Cant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ás contundencia contra la violencia de género. Valórame, no me maltrates.  - UGT Enseñanza Cantabria"/>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242" t="3921" r="2860" b="38569"/>
                        <a:stretch/>
                      </pic:blipFill>
                      <pic:spPr bwMode="auto">
                        <a:xfrm>
                          <a:off x="0" y="0"/>
                          <a:ext cx="274256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26D">
            <w:t>IGUALDAD DE GÉNERO.</w:t>
          </w:r>
          <w:bookmarkEnd w:id="19"/>
          <w:r w:rsidRPr="00CA726D">
            <w:t xml:space="preserve"> </w:t>
          </w:r>
        </w:p>
        <w:p w14:paraId="417254B1" w14:textId="3B804218" w:rsidR="00CA726D" w:rsidRDefault="00CA726D" w:rsidP="005B21E1">
          <w:pPr>
            <w:spacing w:line="360" w:lineRule="auto"/>
            <w:jc w:val="both"/>
            <w:rPr>
              <w:rFonts w:ascii="Arial" w:hAnsi="Arial" w:cs="Arial"/>
            </w:rPr>
          </w:pPr>
          <w:r>
            <w:rPr>
              <w:rFonts w:ascii="Arial" w:hAnsi="Arial" w:cs="Arial"/>
            </w:rPr>
            <w:t>La calidad de las democracias se mide no solo por la regularidad con que se realizan elecciones o la cantidad de ciudadanos que votan. Para funcionar y tener mejores resultados de la democracia es necesario que los principios y derechos en que se fundamentan las libertades y la igualdad de las personas sean una realidad y no únicamente una declaración. Entre los derechos que más se desconocen e incumplen está el de la igualdad para las mujeres.</w:t>
          </w:r>
        </w:p>
        <w:p w14:paraId="2D35A7C4" w14:textId="77777777" w:rsidR="00CA726D" w:rsidRDefault="00CA726D" w:rsidP="00830B0F">
          <w:pPr>
            <w:spacing w:line="360" w:lineRule="auto"/>
            <w:jc w:val="right"/>
            <w:rPr>
              <w:rFonts w:ascii="Arial" w:hAnsi="Arial" w:cs="Arial"/>
            </w:rPr>
          </w:pPr>
        </w:p>
        <w:p w14:paraId="2BBB9912" w14:textId="77777777" w:rsidR="00307E85" w:rsidRDefault="00307E85" w:rsidP="00830B0F">
          <w:pPr>
            <w:spacing w:line="360" w:lineRule="auto"/>
            <w:jc w:val="right"/>
            <w:rPr>
              <w:rFonts w:ascii="Arial" w:hAnsi="Arial" w:cs="Arial"/>
            </w:rPr>
          </w:pPr>
        </w:p>
        <w:p w14:paraId="5A27D8E6" w14:textId="3CD8A881" w:rsidR="00CA726D" w:rsidRDefault="00CA726D" w:rsidP="00830B0F">
          <w:pPr>
            <w:spacing w:line="276" w:lineRule="auto"/>
            <w:jc w:val="right"/>
            <w:rPr>
              <w:rFonts w:ascii="Arial" w:hAnsi="Arial" w:cs="Arial"/>
            </w:rPr>
          </w:pPr>
          <w:r>
            <w:rPr>
              <w:rFonts w:eastAsiaTheme="minorHAnsi"/>
              <w:noProof/>
              <w:sz w:val="22"/>
              <w:szCs w:val="22"/>
              <w:lang w:eastAsia="es-MX"/>
            </w:rPr>
            <w:drawing>
              <wp:inline distT="0" distB="0" distL="0" distR="0" wp14:anchorId="7E90A416" wp14:editId="60211803">
                <wp:extent cx="5500370" cy="3207385"/>
                <wp:effectExtent l="0" t="0" r="5080" b="1206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5B8DE26" w14:textId="5DF647CE" w:rsidR="00CA726D" w:rsidRDefault="00CA726D" w:rsidP="005B21E1">
          <w:pPr>
            <w:spacing w:line="360" w:lineRule="auto"/>
            <w:jc w:val="both"/>
            <w:rPr>
              <w:rFonts w:ascii="Arial" w:hAnsi="Arial" w:cs="Arial"/>
              <w:noProof/>
              <w:lang w:eastAsia="es-MX"/>
            </w:rPr>
          </w:pPr>
          <w:r>
            <w:rPr>
              <w:rFonts w:ascii="Arial" w:hAnsi="Arial" w:cs="Arial"/>
            </w:rPr>
            <w:t>Con el objetivo de poner fin a la violencia que se ejerce hacia niñas, adolescentes y mujeres en el Estado de México, la Secretaría de la Mujer implementó estrategias para atender, prevenir y visibilizar la violencia de género, así como la ejecución de políticas públicas tendentes a institucionalizar y transversalizar la perspectiva de género que contribuyan a la igualdad sustantiva entre los géneros. En este sentido, para este periodo se realizaron 95 talleres, conferencias y cine-debates, dirigidos al personal del servicio público estatal, municipal y población abierta, en los que se abordaron los temas de perspectiva de género, comunicación igualitaria, género y visibilización de la violencia, alerta de violencia de género, entre otros.</w:t>
          </w:r>
          <w:r w:rsidR="00E642E2" w:rsidRPr="00E642E2">
            <w:rPr>
              <w:rFonts w:ascii="Arial" w:hAnsi="Arial" w:cs="Arial"/>
              <w:noProof/>
              <w:lang w:eastAsia="es-MX"/>
            </w:rPr>
            <w:t xml:space="preserve"> </w:t>
          </w:r>
        </w:p>
        <w:p w14:paraId="4C2D9E80" w14:textId="77777777" w:rsidR="00E642E2" w:rsidRDefault="00E642E2" w:rsidP="00830B0F">
          <w:pPr>
            <w:spacing w:line="360" w:lineRule="auto"/>
            <w:jc w:val="right"/>
            <w:rPr>
              <w:rFonts w:ascii="Arial" w:hAnsi="Arial" w:cs="Arial"/>
            </w:rPr>
          </w:pPr>
        </w:p>
        <w:p w14:paraId="602F358A" w14:textId="77777777" w:rsidR="00CA726D" w:rsidRDefault="00CA726D" w:rsidP="00830B0F">
          <w:pPr>
            <w:spacing w:line="360" w:lineRule="auto"/>
            <w:jc w:val="right"/>
            <w:rPr>
              <w:rFonts w:ascii="Arial" w:hAnsi="Arial" w:cs="Arial"/>
            </w:rPr>
          </w:pPr>
        </w:p>
        <w:p w14:paraId="0E25D1E4" w14:textId="77777777" w:rsidR="00CA726D" w:rsidRPr="007958F4" w:rsidRDefault="00CA726D" w:rsidP="005B21E1">
          <w:pPr>
            <w:pStyle w:val="Ttulo2"/>
            <w:jc w:val="both"/>
          </w:pPr>
          <w:bookmarkStart w:id="20" w:name="_Toc90995820"/>
          <w:r w:rsidRPr="007958F4">
            <w:t>GOBIERNO CAPAZ Y RESPONSABLE.</w:t>
          </w:r>
          <w:bookmarkEnd w:id="20"/>
        </w:p>
        <w:p w14:paraId="5BF1DABD" w14:textId="77777777" w:rsidR="00CA726D" w:rsidRDefault="00CA726D" w:rsidP="005B21E1">
          <w:pPr>
            <w:spacing w:line="360" w:lineRule="auto"/>
            <w:jc w:val="both"/>
            <w:rPr>
              <w:rFonts w:ascii="Arial" w:hAnsi="Arial" w:cs="Arial"/>
            </w:rPr>
          </w:pPr>
          <w:r>
            <w:rPr>
              <w:rFonts w:ascii="Arial" w:hAnsi="Arial" w:cs="Arial"/>
            </w:rPr>
            <w:t xml:space="preserve">El reto de los gobiernos actuales versa sobre la eficacia en solucionar los problemas endémicos que aquejan a las sociedades modernas y uno de los mayores retos es hacerlo con apego al Estado de Derecho, ya que éste aporta las normas y los valores fundamentales que rigen la convivencia social, así como los derechos y obligaciones de los actores sociales y políticos. </w:t>
          </w:r>
        </w:p>
        <w:p w14:paraId="6861665D" w14:textId="1DB16B35" w:rsidR="00CA726D" w:rsidRDefault="00CA726D" w:rsidP="005B21E1">
          <w:pPr>
            <w:spacing w:line="360" w:lineRule="auto"/>
            <w:jc w:val="both"/>
            <w:rPr>
              <w:rFonts w:ascii="Arial" w:hAnsi="Arial" w:cs="Arial"/>
            </w:rPr>
          </w:pPr>
          <w:r>
            <w:rPr>
              <w:rFonts w:ascii="Arial" w:hAnsi="Arial" w:cs="Arial"/>
            </w:rPr>
            <w:t xml:space="preserve">Democratizar el ejercicio del poder significa un gobierno que respeta la división de poderes y la colaboración entre ellos; así </w:t>
          </w:r>
          <w:r w:rsidR="007958F4">
            <w:rPr>
              <w:rFonts w:ascii="Arial" w:hAnsi="Arial" w:cs="Arial"/>
            </w:rPr>
            <w:t>como</w:t>
          </w:r>
          <w:r>
            <w:rPr>
              <w:rFonts w:ascii="Arial" w:hAnsi="Arial" w:cs="Arial"/>
            </w:rPr>
            <w:t xml:space="preserve"> todos los derechos humanos, económicos y sociales, no sólo los políticos; es transparente y rinde cuentas de sus actos de manera cotidiana y sistemática; impide la corrupción y ejerce el gasto público sin desviaciones, siempre en beneficio de la población; promoviendo la participación de la sociedad en las tareas de gobierno, abriendo espacios a la ciudadanía y tomándola en cuenta.</w:t>
          </w:r>
        </w:p>
        <w:p w14:paraId="7BA0F897" w14:textId="77777777" w:rsidR="00CA726D" w:rsidRDefault="00CA726D" w:rsidP="005B21E1">
          <w:pPr>
            <w:spacing w:line="360" w:lineRule="auto"/>
            <w:jc w:val="both"/>
            <w:rPr>
              <w:rFonts w:ascii="Arial" w:hAnsi="Arial" w:cs="Arial"/>
            </w:rPr>
          </w:pPr>
          <w:r>
            <w:rPr>
              <w:rFonts w:ascii="Arial" w:hAnsi="Arial" w:cs="Arial"/>
            </w:rPr>
            <w:t xml:space="preserve">Se han identificado cinco aspectos a desarrollar para tener ese gobierno capaz y responsable: </w:t>
          </w:r>
        </w:p>
        <w:p w14:paraId="696DADE4" w14:textId="77777777" w:rsidR="00CA726D" w:rsidRDefault="00CA726D" w:rsidP="005B21E1">
          <w:pPr>
            <w:spacing w:line="360" w:lineRule="auto"/>
            <w:jc w:val="both"/>
            <w:rPr>
              <w:rFonts w:ascii="Arial" w:hAnsi="Arial" w:cs="Arial"/>
            </w:rPr>
          </w:pPr>
          <w:r>
            <w:rPr>
              <w:rFonts w:ascii="Arial" w:hAnsi="Arial" w:cs="Arial"/>
            </w:rPr>
            <w:t xml:space="preserve">a) Una mayor transparencia y rendición de cuentas permanentes; </w:t>
          </w:r>
        </w:p>
        <w:p w14:paraId="2FB4F98B" w14:textId="77777777" w:rsidR="00CA726D" w:rsidRDefault="00CA726D" w:rsidP="005B21E1">
          <w:pPr>
            <w:spacing w:line="360" w:lineRule="auto"/>
            <w:jc w:val="both"/>
            <w:rPr>
              <w:rFonts w:ascii="Arial" w:hAnsi="Arial" w:cs="Arial"/>
            </w:rPr>
          </w:pPr>
          <w:r>
            <w:rPr>
              <w:rFonts w:ascii="Arial" w:hAnsi="Arial" w:cs="Arial"/>
            </w:rPr>
            <w:t xml:space="preserve">b) La prevención y combate a la corrupción mediante la operación plena del Sistema Anticorrupción del Estado de México y Municipios; </w:t>
          </w:r>
        </w:p>
        <w:p w14:paraId="4CD60AAF" w14:textId="77777777" w:rsidR="00CA726D" w:rsidRDefault="00CA726D" w:rsidP="005B21E1">
          <w:pPr>
            <w:spacing w:line="360" w:lineRule="auto"/>
            <w:jc w:val="both"/>
            <w:rPr>
              <w:rFonts w:ascii="Arial" w:hAnsi="Arial" w:cs="Arial"/>
            </w:rPr>
          </w:pPr>
          <w:r>
            <w:rPr>
              <w:rFonts w:ascii="Arial" w:hAnsi="Arial" w:cs="Arial"/>
            </w:rPr>
            <w:t xml:space="preserve">c) La gobernabilidad fundada en el diálogo y la paz social; </w:t>
          </w:r>
        </w:p>
        <w:p w14:paraId="4A64B676" w14:textId="77777777" w:rsidR="00CA726D" w:rsidRDefault="00CA726D" w:rsidP="005B21E1">
          <w:pPr>
            <w:spacing w:line="360" w:lineRule="auto"/>
            <w:jc w:val="both"/>
            <w:rPr>
              <w:rFonts w:ascii="Arial" w:hAnsi="Arial" w:cs="Arial"/>
            </w:rPr>
          </w:pPr>
          <w:r>
            <w:rPr>
              <w:rFonts w:ascii="Arial" w:hAnsi="Arial" w:cs="Arial"/>
            </w:rPr>
            <w:t xml:space="preserve">d) Unas finanzas públicas sanas y </w:t>
          </w:r>
        </w:p>
        <w:p w14:paraId="14B8B35F" w14:textId="77777777" w:rsidR="00CA726D" w:rsidRDefault="00CA726D" w:rsidP="005B21E1">
          <w:pPr>
            <w:spacing w:line="360" w:lineRule="auto"/>
            <w:jc w:val="both"/>
            <w:rPr>
              <w:rFonts w:ascii="Arial" w:hAnsi="Arial" w:cs="Arial"/>
            </w:rPr>
          </w:pPr>
          <w:r>
            <w:rPr>
              <w:rFonts w:ascii="Arial" w:hAnsi="Arial" w:cs="Arial"/>
            </w:rPr>
            <w:t>e) Una gestión pública orientada por resultados y garantizada por una evaluación permanente de su desempeño.</w:t>
          </w:r>
        </w:p>
        <w:p w14:paraId="0CC60993" w14:textId="259C93F7" w:rsidR="00CA726D" w:rsidRPr="007958F4" w:rsidRDefault="007958F4" w:rsidP="00C35268">
          <w:pPr>
            <w:pStyle w:val="Prrafodelista"/>
            <w:numPr>
              <w:ilvl w:val="0"/>
              <w:numId w:val="47"/>
            </w:numPr>
            <w:spacing w:line="360" w:lineRule="auto"/>
            <w:rPr>
              <w:rFonts w:ascii="Arial" w:hAnsi="Arial" w:cs="Arial"/>
            </w:rPr>
          </w:pPr>
          <w:r w:rsidRPr="007958F4">
            <w:rPr>
              <w:rFonts w:ascii="Arial" w:hAnsi="Arial" w:cs="Arial"/>
            </w:rPr>
            <w:t xml:space="preserve">TRANSPARENCIA Y RENDICIÓN DE CUENTAS. </w:t>
          </w:r>
        </w:p>
        <w:p w14:paraId="2469F983" w14:textId="2FB57006" w:rsidR="00CA726D" w:rsidRPr="007958F4" w:rsidRDefault="007958F4" w:rsidP="00C35268">
          <w:pPr>
            <w:pStyle w:val="Prrafodelista"/>
            <w:numPr>
              <w:ilvl w:val="0"/>
              <w:numId w:val="47"/>
            </w:numPr>
            <w:spacing w:line="360" w:lineRule="auto"/>
            <w:rPr>
              <w:rFonts w:ascii="Arial" w:hAnsi="Arial" w:cs="Arial"/>
            </w:rPr>
          </w:pPr>
          <w:r w:rsidRPr="007958F4">
            <w:rPr>
              <w:rFonts w:ascii="Arial" w:hAnsi="Arial" w:cs="Arial"/>
            </w:rPr>
            <w:t>SISTEMA ANTICORRUPCIÓN DEL ESTADO DE MÉXICO Y MUNICIPIOS.</w:t>
          </w:r>
        </w:p>
        <w:p w14:paraId="1095D768" w14:textId="77777777" w:rsidR="00CA726D" w:rsidRDefault="00CA726D" w:rsidP="005B21E1">
          <w:pPr>
            <w:spacing w:line="360" w:lineRule="auto"/>
            <w:jc w:val="both"/>
            <w:rPr>
              <w:rFonts w:ascii="Arial" w:hAnsi="Arial" w:cs="Arial"/>
            </w:rPr>
          </w:pPr>
          <w:r>
            <w:rPr>
              <w:rFonts w:ascii="Arial" w:hAnsi="Arial" w:cs="Arial"/>
            </w:rPr>
            <w:t xml:space="preserve"> La corrupción es una práctica de alta complejidad, que lacera a las sociedades de todo el mundo, es la causante de la degradación de la credibilidad y la legitimidad del actuar público. Los actos de corrupción se han constituido como un factor de deterioro de las instituciones gubernamentales que propicia la reducción del crecimiento económico, producto del clima de desconfianza e incertidumbre que inhibe la competitividad y el desarrollo.</w:t>
          </w:r>
        </w:p>
        <w:p w14:paraId="5F7568D3" w14:textId="77777777" w:rsidR="00CA726D" w:rsidRDefault="00CA726D" w:rsidP="005B21E1">
          <w:pPr>
            <w:spacing w:line="360" w:lineRule="auto"/>
            <w:jc w:val="both"/>
            <w:rPr>
              <w:rFonts w:ascii="Arial" w:hAnsi="Arial" w:cs="Arial"/>
            </w:rPr>
          </w:pPr>
          <w:r>
            <w:rPr>
              <w:rFonts w:ascii="Arial" w:hAnsi="Arial" w:cs="Arial"/>
            </w:rPr>
            <w:t>La transparencia y la rendición de cuentas fungirán como medio para recobrar la confianza ciudadana en los organismos públicos. La prevención de los actos de corrupción, su oportuna detección y la ejemplar sanción a estas faltas administrativas serán parte esencial del diseño e implementación de la política anticorrupción de la entidad.</w:t>
          </w:r>
        </w:p>
        <w:p w14:paraId="364361C3" w14:textId="77777777" w:rsidR="00CA726D" w:rsidRPr="00B34E88" w:rsidRDefault="00CA726D" w:rsidP="00FD63C4">
          <w:pPr>
            <w:pStyle w:val="Ttulo2"/>
            <w:jc w:val="both"/>
          </w:pPr>
          <w:bookmarkStart w:id="21" w:name="_Toc90995821"/>
          <w:r w:rsidRPr="00B34E88">
            <w:t>CONECTIVIDAD Y TECNOLOGÍA PARA EL BUEN GOBIERNO.</w:t>
          </w:r>
          <w:bookmarkEnd w:id="21"/>
        </w:p>
        <w:p w14:paraId="520A3A06" w14:textId="5FD9ACA0" w:rsidR="00723958" w:rsidRDefault="00BC1AB5" w:rsidP="00FD63C4">
          <w:pPr>
            <w:spacing w:line="360" w:lineRule="auto"/>
            <w:jc w:val="both"/>
            <w:rPr>
              <w:rFonts w:ascii="Arial" w:hAnsi="Arial" w:cs="Arial"/>
            </w:rPr>
          </w:pPr>
          <w:r>
            <w:rPr>
              <w:rFonts w:ascii="Arial" w:hAnsi="Arial" w:cs="Arial"/>
            </w:rPr>
            <w:t>La</w:t>
          </w:r>
          <w:r w:rsidR="00CA726D">
            <w:rPr>
              <w:rFonts w:ascii="Arial" w:hAnsi="Arial" w:cs="Arial"/>
            </w:rPr>
            <w:t xml:space="preserve"> conectividad y la tecnología impulsarán la modernización y el fortalecimiento de las administraciones municipales, especialmente de aquellas ubicadas en zonas rurales. Esto permitirá que su trabajo y gestión se hagan de forma cada vez más cercana con los ciudadanos. La tecnología es, de igual forma, un elemento que promueve la rendición de cuentas e incentiva la transparencia proactiva. Ello fortalece la certeza jurídica y la protección del patrimonio de las familias y las empresas, lo que da certidumbre a sus decisiones patrimoniales y de inversión. Finalmente, la tecnología y la conectividad permitirán estrechar la coordinación y seguimiento de acciones que la administración pública estatal lleve a cabo con cada uno de estos actores, para darle mayor impacto social y económico a las estrategias y programas en los que participen de manera conjunta.</w:t>
          </w:r>
        </w:p>
        <w:p w14:paraId="27B919F0" w14:textId="77777777" w:rsidR="00723958" w:rsidRDefault="00723958" w:rsidP="00830B0F">
          <w:pPr>
            <w:jc w:val="right"/>
            <w:rPr>
              <w:rFonts w:ascii="Arial" w:hAnsi="Arial" w:cs="Arial"/>
            </w:rPr>
          </w:pPr>
          <w:r>
            <w:rPr>
              <w:rFonts w:ascii="Arial" w:hAnsi="Arial" w:cs="Arial"/>
            </w:rPr>
            <w:br w:type="page"/>
          </w:r>
        </w:p>
        <w:p w14:paraId="563F504A" w14:textId="618AAE1E" w:rsidR="00BA181F" w:rsidRDefault="00723958" w:rsidP="00D974BD">
          <w:pPr>
            <w:pStyle w:val="Ttulo1"/>
            <w:jc w:val="both"/>
          </w:pPr>
          <w:bookmarkStart w:id="22" w:name="_Toc90995822"/>
          <w:r w:rsidRPr="00CB1E2B">
            <w:t>DEUDA PÚBLICA.</w:t>
          </w:r>
          <w:bookmarkEnd w:id="22"/>
        </w:p>
        <w:p w14:paraId="5F48E3F4" w14:textId="77777777" w:rsidR="00443858" w:rsidRDefault="00BA181F" w:rsidP="00D974BD">
          <w:pPr>
            <w:spacing w:line="360" w:lineRule="auto"/>
            <w:jc w:val="both"/>
            <w:rPr>
              <w:rFonts w:ascii="Arial" w:hAnsi="Arial" w:cs="Arial"/>
            </w:rPr>
          </w:pPr>
          <w:r w:rsidRPr="00BA181F">
            <w:rPr>
              <w:rFonts w:ascii="Arial" w:hAnsi="Arial" w:cs="Arial"/>
            </w:rPr>
            <w:t xml:space="preserve">Con base en el Código Financiero del Estado de México y Municipios (GEM, 1999), se señala que la deuda pública está constituida por las obligaciones de pasivos directas, indirectas o contingentes, contraídas por los entes públicos para el financiamiento, que representa toda operación constitutiva de un pasivo, directo o contingente, de corto, mediano o largo plazo, derivada de un crédito, empréstito o préstamo, incluyendo arrendamientos y factorajes financieros o cadenas productivas. Con base en el artículo 259 del mencionado Código, la deuda pública del se integra por: </w:t>
          </w:r>
        </w:p>
        <w:p w14:paraId="52155586" w14:textId="77777777" w:rsidR="00443858" w:rsidRDefault="00BA181F" w:rsidP="00D974BD">
          <w:pPr>
            <w:spacing w:line="360" w:lineRule="auto"/>
            <w:jc w:val="both"/>
            <w:rPr>
              <w:rFonts w:ascii="Arial" w:hAnsi="Arial" w:cs="Arial"/>
            </w:rPr>
          </w:pPr>
          <w:r w:rsidRPr="00BA181F">
            <w:rPr>
              <w:rFonts w:ascii="Arial" w:hAnsi="Arial" w:cs="Arial"/>
            </w:rPr>
            <w:t xml:space="preserve">I. Deuda Pública del Estado: </w:t>
          </w:r>
        </w:p>
        <w:p w14:paraId="765C3974" w14:textId="77777777" w:rsidR="00443858" w:rsidRDefault="00BA181F" w:rsidP="00D974BD">
          <w:pPr>
            <w:spacing w:line="360" w:lineRule="auto"/>
            <w:jc w:val="both"/>
            <w:rPr>
              <w:rFonts w:ascii="Arial" w:hAnsi="Arial" w:cs="Arial"/>
            </w:rPr>
          </w:pPr>
          <w:r w:rsidRPr="00BA181F">
            <w:rPr>
              <w:rFonts w:ascii="Arial" w:hAnsi="Arial" w:cs="Arial"/>
            </w:rPr>
            <w:t xml:space="preserve">a. Directa, la que contrate el Gobierno del Estado. </w:t>
          </w:r>
        </w:p>
        <w:p w14:paraId="7F7E8721" w14:textId="77777777" w:rsidR="00443858" w:rsidRDefault="00BA181F" w:rsidP="00D974BD">
          <w:pPr>
            <w:spacing w:line="360" w:lineRule="auto"/>
            <w:jc w:val="both"/>
            <w:rPr>
              <w:rFonts w:ascii="Arial" w:hAnsi="Arial" w:cs="Arial"/>
            </w:rPr>
          </w:pPr>
          <w:r w:rsidRPr="00BA181F">
            <w:rPr>
              <w:rFonts w:ascii="Arial" w:hAnsi="Arial" w:cs="Arial"/>
            </w:rPr>
            <w:t xml:space="preserve">b. Indirecta, la que contraten sus organismos públicos descentralizados, las empresas de participación mayoritaria y fideicomisos. </w:t>
          </w:r>
        </w:p>
        <w:p w14:paraId="59DB17DA" w14:textId="77777777" w:rsidR="00443858" w:rsidRDefault="00BA181F" w:rsidP="00D974BD">
          <w:pPr>
            <w:spacing w:line="360" w:lineRule="auto"/>
            <w:jc w:val="both"/>
            <w:rPr>
              <w:rFonts w:ascii="Arial" w:hAnsi="Arial" w:cs="Arial"/>
            </w:rPr>
          </w:pPr>
          <w:r w:rsidRPr="00BA181F">
            <w:rPr>
              <w:rFonts w:ascii="Arial" w:hAnsi="Arial" w:cs="Arial"/>
            </w:rPr>
            <w:t xml:space="preserve">c. Contingente, cualquier financiamiento sin fuente o garantía de pago definida, que sea asumida de manera solidaria o subsidiaria por el Estado con sus municipios, organismos descentralizados y empresas de participación estatal mayoritaria y fideicomisos, estatales o municipales. </w:t>
          </w:r>
        </w:p>
        <w:p w14:paraId="32FF2350" w14:textId="77777777" w:rsidR="00443858" w:rsidRDefault="00BA181F" w:rsidP="00D974BD">
          <w:pPr>
            <w:spacing w:line="360" w:lineRule="auto"/>
            <w:jc w:val="both"/>
            <w:rPr>
              <w:rFonts w:ascii="Arial" w:hAnsi="Arial" w:cs="Arial"/>
            </w:rPr>
          </w:pPr>
          <w:r w:rsidRPr="00BA181F">
            <w:rPr>
              <w:rFonts w:ascii="Arial" w:hAnsi="Arial" w:cs="Arial"/>
            </w:rPr>
            <w:t xml:space="preserve">II. Deuda Pública de los Municipios: </w:t>
          </w:r>
        </w:p>
        <w:p w14:paraId="14F77052" w14:textId="77777777" w:rsidR="00443858" w:rsidRDefault="00BA181F" w:rsidP="00D974BD">
          <w:pPr>
            <w:spacing w:line="360" w:lineRule="auto"/>
            <w:jc w:val="both"/>
            <w:rPr>
              <w:rFonts w:ascii="Arial" w:hAnsi="Arial" w:cs="Arial"/>
            </w:rPr>
          </w:pPr>
          <w:r w:rsidRPr="00BA181F">
            <w:rPr>
              <w:rFonts w:ascii="Arial" w:hAnsi="Arial" w:cs="Arial"/>
            </w:rPr>
            <w:t xml:space="preserve">a. Directa, la que contraten los ayuntamientos. </w:t>
          </w:r>
        </w:p>
        <w:p w14:paraId="25201FBE" w14:textId="5C6E77D1" w:rsidR="00443858" w:rsidRDefault="00BA181F" w:rsidP="00D974BD">
          <w:pPr>
            <w:spacing w:line="360" w:lineRule="auto"/>
            <w:jc w:val="both"/>
            <w:rPr>
              <w:rFonts w:ascii="Arial" w:hAnsi="Arial" w:cs="Arial"/>
            </w:rPr>
          </w:pPr>
          <w:r w:rsidRPr="00BA181F">
            <w:rPr>
              <w:rFonts w:ascii="Arial" w:hAnsi="Arial" w:cs="Arial"/>
            </w:rPr>
            <w:t xml:space="preserve">b. Indirecta, la que contraten los organismos públicos descentralizados municipales, empresas de participación municipal mayoritaria y fideicomisos en los que el fideicomitente sea el propio ayuntamiento. </w:t>
          </w:r>
        </w:p>
        <w:p w14:paraId="29489BB8" w14:textId="71EC5C3B" w:rsidR="00BA181F" w:rsidRDefault="00BA181F" w:rsidP="00D974BD">
          <w:pPr>
            <w:spacing w:line="360" w:lineRule="auto"/>
            <w:jc w:val="both"/>
            <w:rPr>
              <w:rFonts w:ascii="Arial" w:hAnsi="Arial" w:cs="Arial"/>
              <w:b/>
              <w:bCs/>
              <w:color w:val="2F5496" w:themeColor="accent1" w:themeShade="BF"/>
              <w:sz w:val="22"/>
              <w:szCs w:val="22"/>
            </w:rPr>
          </w:pPr>
          <w:r w:rsidRPr="00BA181F">
            <w:rPr>
              <w:rFonts w:ascii="Arial" w:hAnsi="Arial" w:cs="Arial"/>
            </w:rPr>
            <w:t>c. Contingente, cualquier financiamiento sin fuente o garantía de pago definida, que sea asumida de manera solidaria o subsidiaria por los municipios con sus respectivos organismos descentralizados y empresas de participación municipal mayoritaria</w:t>
          </w:r>
          <w:r w:rsidR="00443858">
            <w:rPr>
              <w:rFonts w:ascii="Arial" w:hAnsi="Arial" w:cs="Arial"/>
            </w:rPr>
            <w:t>.</w:t>
          </w:r>
        </w:p>
        <w:p w14:paraId="5C44EBF3" w14:textId="77777777" w:rsidR="00BA181F" w:rsidRDefault="00BA181F" w:rsidP="00830B0F">
          <w:pPr>
            <w:jc w:val="right"/>
            <w:rPr>
              <w:rFonts w:ascii="Arial" w:hAnsi="Arial" w:cs="Arial"/>
              <w:b/>
              <w:bCs/>
              <w:color w:val="2F5496" w:themeColor="accent1" w:themeShade="BF"/>
              <w:sz w:val="22"/>
              <w:szCs w:val="22"/>
            </w:rPr>
          </w:pPr>
          <w:r>
            <w:rPr>
              <w:rFonts w:ascii="Arial" w:hAnsi="Arial" w:cs="Arial"/>
              <w:b/>
              <w:bCs/>
              <w:color w:val="2F5496" w:themeColor="accent1" w:themeShade="BF"/>
              <w:sz w:val="22"/>
              <w:szCs w:val="22"/>
            </w:rPr>
            <w:br w:type="page"/>
          </w:r>
        </w:p>
        <w:p w14:paraId="30CBE952" w14:textId="77777777" w:rsidR="00CA726D" w:rsidRPr="00CB1E2B" w:rsidRDefault="00CA726D" w:rsidP="00830B0F">
          <w:pPr>
            <w:spacing w:line="360" w:lineRule="auto"/>
            <w:jc w:val="right"/>
            <w:rPr>
              <w:rFonts w:ascii="Arial" w:hAnsi="Arial" w:cs="Arial"/>
              <w:b/>
              <w:bCs/>
              <w:color w:val="2F5496" w:themeColor="accent1" w:themeShade="BF"/>
              <w:sz w:val="22"/>
              <w:szCs w:val="22"/>
            </w:rPr>
          </w:pPr>
        </w:p>
        <w:p w14:paraId="560DF93D" w14:textId="030E6A8A" w:rsidR="00723958" w:rsidRPr="00CB1E2B" w:rsidRDefault="00723958" w:rsidP="00D974BD">
          <w:pPr>
            <w:spacing w:line="360" w:lineRule="auto"/>
            <w:jc w:val="both"/>
            <w:rPr>
              <w:rFonts w:ascii="Arial" w:hAnsi="Arial" w:cs="Arial"/>
            </w:rPr>
          </w:pPr>
          <w:r w:rsidRPr="00CB1E2B">
            <w:rPr>
              <w:rFonts w:ascii="Arial" w:hAnsi="Arial" w:cs="Arial"/>
            </w:rPr>
            <w:t xml:space="preserve">Las finanzas públicas del Estado de México, durante el ejercicio fiscal 2020, han mantenido una situación sana y sostenible de la Deuda Pública, tanto en monto como en estructura. La fortaleza de las finanzas públicas del Estado es el resultado de una gestión responsable plasmada en el Plan de Desarrollo 2017-2023: “Manejar las Finanzas del Estado con responsabilidad y transparencia con la finalidad de tener siempre lista una rendición de cuentas exitosa”. El Gobierno Estatal requiere de los recursos financieros para fomentar el desarrollo. De conformidad con la normatividad aplicable, cada peso que se presupuesta debe asignarse y aplicarse de manera eficiente, para el logro de las metas y objetivos que se han establecido. Los recursos deben dirigirse a proyectos que causen el mayor impacto en el bienestar de los mexiquenses. </w:t>
          </w:r>
        </w:p>
        <w:p w14:paraId="5B19F1FE" w14:textId="021F78FA" w:rsidR="00CB1E2B" w:rsidRPr="00CB1E2B" w:rsidRDefault="00CB1E2B" w:rsidP="00D974BD">
          <w:pPr>
            <w:spacing w:line="360" w:lineRule="auto"/>
            <w:jc w:val="both"/>
            <w:rPr>
              <w:rFonts w:ascii="Arial" w:hAnsi="Arial" w:cs="Arial"/>
            </w:rPr>
          </w:pPr>
          <w:r w:rsidRPr="00CB1E2B">
            <w:rPr>
              <w:rFonts w:ascii="Arial" w:hAnsi="Arial" w:cs="Arial"/>
            </w:rPr>
            <w:t>El manejo responsable de las finanzas estatales ha sido determinante para que las calificadoras tomaran su decisión, el esfuerzo recaudatorio estatal que ha sido muy importante. Para hacer frente a la crisis de 2009 y 2020, el Estado fue la primera Entidad Federativa en aplicar medidas de responsabilidad financiera y de contención al gasto; se continúa con las restricciones al crecimiento del gasto corriente e incremento de los ingresos propios. Estos son conceptos que actualmente postula la Ley de Disciplina Financiera de las Entidades Federativas y Municipios, aplicada en el Gobierno del Estado, mediante la armonización de su normatividad. Derivado de las sanas prácticas administrativas, las calificadoras estiman que el Estado mantendrá una flexibilidad financiera satisfactoria, con base en la política conservadora en el manejo presupuestal llevado a cabo en los últimos años.</w:t>
          </w:r>
        </w:p>
        <w:p w14:paraId="17264D67" w14:textId="19692479" w:rsidR="007B777D" w:rsidRDefault="00CB1E2B" w:rsidP="00D974BD">
          <w:pPr>
            <w:spacing w:line="360" w:lineRule="auto"/>
            <w:jc w:val="both"/>
            <w:rPr>
              <w:rFonts w:ascii="Arial" w:hAnsi="Arial" w:cs="Arial"/>
            </w:rPr>
          </w:pPr>
          <w:r w:rsidRPr="00CB1E2B">
            <w:rPr>
              <w:rFonts w:ascii="Arial" w:hAnsi="Arial" w:cs="Arial"/>
            </w:rPr>
            <w:t>La obtención de las nuevas calificaciones confirma que el Estado de México avanza en la consolidación de sus finanzas, lo que es resultado de las políticas que en esta materia han adoptado para construir un estado eficaz, que impulse el desarrollo y garantice a todos los mexiquenses el goce de los derechos fundamentales que establece la Constitución. En la Ley de Ingresos de los Municipios para el ejercicio fiscal 2020 aprobada por la H. Legislatura se autoriza a los municipios realizar operaciones de crédito, sin embargo, no fue necesario solicitar autorización para que el Ejecutivo Estatal otorgase aval a los gobiernos municipales. En tal virtud los gobiernos municipales, al 31 de diciembre de 2020, no contrataron créditos con el Aval del Gobierno del Estado de México.</w:t>
          </w:r>
        </w:p>
        <w:p w14:paraId="71265849" w14:textId="631647B2" w:rsidR="00B91D74" w:rsidRPr="007B777D" w:rsidRDefault="00F61E3D" w:rsidP="00830B0F">
          <w:pPr>
            <w:spacing w:line="276" w:lineRule="auto"/>
            <w:jc w:val="right"/>
            <w:rPr>
              <w:rFonts w:ascii="Arial" w:hAnsi="Arial" w:cs="Arial"/>
            </w:rPr>
          </w:pPr>
          <w:r w:rsidRPr="007B777D">
            <w:rPr>
              <w:rFonts w:asciiTheme="majorHAnsi" w:eastAsiaTheme="majorEastAsia" w:hAnsiTheme="majorHAnsi" w:cstheme="majorBidi"/>
              <w:sz w:val="32"/>
              <w:szCs w:val="32"/>
            </w:rPr>
            <w:br w:type="page"/>
          </w:r>
          <w:r w:rsidR="007B777D">
            <w:rPr>
              <w:rFonts w:ascii="Times New Roman" w:eastAsia="Times New Roman" w:hAnsi="Times New Roman" w:cs="Times New Roman"/>
              <w:sz w:val="24"/>
              <w:szCs w:val="24"/>
              <w:lang w:val="es-AR" w:eastAsia="es-AR"/>
            </w:rPr>
            <w:t xml:space="preserve"> </w:t>
          </w:r>
        </w:p>
      </w:sdtContent>
    </w:sdt>
    <w:p w14:paraId="2CC67D65" w14:textId="77777777" w:rsidR="007B777D" w:rsidRPr="00BA181F" w:rsidRDefault="007B777D" w:rsidP="00C35268">
      <w:pPr>
        <w:pStyle w:val="Ttulo1"/>
        <w:jc w:val="both"/>
      </w:pPr>
      <w:bookmarkStart w:id="23" w:name="_Toc90995823"/>
      <w:r w:rsidRPr="00BA181F">
        <w:t>CONCLUSIÓN.</w:t>
      </w:r>
      <w:bookmarkEnd w:id="23"/>
    </w:p>
    <w:p w14:paraId="4EDFA151" w14:textId="35466399" w:rsidR="00CB1E2B" w:rsidRDefault="00723958" w:rsidP="00C35268">
      <w:pPr>
        <w:spacing w:line="360" w:lineRule="auto"/>
        <w:jc w:val="both"/>
        <w:rPr>
          <w:rFonts w:ascii="Arial" w:hAnsi="Arial" w:cs="Arial"/>
        </w:rPr>
      </w:pPr>
      <w:r>
        <w:rPr>
          <w:rFonts w:ascii="Arial" w:hAnsi="Arial" w:cs="Arial"/>
        </w:rPr>
        <w:t>Se tuv</w:t>
      </w:r>
      <w:r w:rsidR="00CB1E2B">
        <w:rPr>
          <w:rFonts w:ascii="Arial" w:hAnsi="Arial" w:cs="Arial"/>
        </w:rPr>
        <w:t xml:space="preserve">ieron que </w:t>
      </w:r>
      <w:r w:rsidR="00E642E2">
        <w:rPr>
          <w:rFonts w:ascii="Arial" w:hAnsi="Arial" w:cs="Arial"/>
        </w:rPr>
        <w:t>re direccionar</w:t>
      </w:r>
      <w:r w:rsidR="00CB1E2B">
        <w:rPr>
          <w:rFonts w:ascii="Arial" w:hAnsi="Arial" w:cs="Arial"/>
        </w:rPr>
        <w:t xml:space="preserve"> los ingresos y egresos del Estado de México tomando en cuenta el efecto de la pandemia actual, distribuir las finanzas a nuevas implementaciones, programas, fondos, apoyos, actividades, infraestructura, equipos, etc., para satisfacer las necesidades sociales que aquejan día a día. </w:t>
      </w:r>
    </w:p>
    <w:p w14:paraId="0CE1119B" w14:textId="407B80E3" w:rsidR="007B777D" w:rsidRDefault="007B777D" w:rsidP="00C35268">
      <w:pPr>
        <w:spacing w:line="360" w:lineRule="auto"/>
        <w:jc w:val="both"/>
        <w:rPr>
          <w:rFonts w:ascii="Arial" w:hAnsi="Arial" w:cs="Arial"/>
        </w:rPr>
      </w:pPr>
      <w:r>
        <w:rPr>
          <w:rFonts w:ascii="Arial" w:hAnsi="Arial" w:cs="Arial"/>
        </w:rPr>
        <w:t>El componente financiero resulta indispensable para la continuidad de las acciones, programas y políticas públicas de mediano y largo plazo, a fin de alcanzar el resultado e impacto esperado, por ello el Gobierno del Estado promoverá fuentes de financiamiento innovadoras, diversificadas y promotoras de crecimiento que contribuyan al logro de los objetivos y prioridades de la presente administración en apego a los principios de responsabilidad hacendaria y las reglas de gestión presupuestaria en un marco de transparencia y rendición de cuentas.</w:t>
      </w:r>
    </w:p>
    <w:p w14:paraId="5D0C5A08" w14:textId="7BA7EB1A" w:rsidR="001C4545" w:rsidRDefault="001C4545" w:rsidP="00C35268">
      <w:pPr>
        <w:spacing w:line="360" w:lineRule="auto"/>
        <w:jc w:val="both"/>
        <w:rPr>
          <w:rFonts w:ascii="Arial" w:hAnsi="Arial" w:cs="Arial"/>
        </w:rPr>
      </w:pPr>
      <w:r>
        <w:rPr>
          <w:rFonts w:ascii="Arial" w:hAnsi="Arial" w:cs="Arial"/>
        </w:rPr>
        <w:t xml:space="preserve">Sin duda alguna, es necesaria la administración eficaz de los recursos económicos para </w:t>
      </w:r>
      <w:r w:rsidR="00DC3179">
        <w:rPr>
          <w:rFonts w:ascii="Arial" w:hAnsi="Arial" w:cs="Arial"/>
        </w:rPr>
        <w:t xml:space="preserve">su aplicación en </w:t>
      </w:r>
      <w:r>
        <w:rPr>
          <w:rFonts w:ascii="Arial" w:hAnsi="Arial" w:cs="Arial"/>
        </w:rPr>
        <w:t xml:space="preserve">nuestra comunidad, atendiendo a los pilares ya mencionados, ejecutando las </w:t>
      </w:r>
      <w:r w:rsidR="00DC3179">
        <w:rPr>
          <w:rFonts w:ascii="Arial" w:hAnsi="Arial" w:cs="Arial"/>
        </w:rPr>
        <w:t>medidas y/o acciones necesarias para el cumplimiento de</w:t>
      </w:r>
      <w:r w:rsidR="00BA181F">
        <w:rPr>
          <w:rFonts w:ascii="Arial" w:hAnsi="Arial" w:cs="Arial"/>
        </w:rPr>
        <w:t xml:space="preserve"> las mismas. </w:t>
      </w:r>
    </w:p>
    <w:p w14:paraId="23A3D637" w14:textId="139B309B" w:rsidR="00BA181F" w:rsidRDefault="00BA181F" w:rsidP="00C35268">
      <w:pPr>
        <w:spacing w:line="360" w:lineRule="auto"/>
        <w:jc w:val="both"/>
        <w:rPr>
          <w:rFonts w:ascii="Arial" w:hAnsi="Arial" w:cs="Arial"/>
        </w:rPr>
      </w:pPr>
      <w:r>
        <w:rPr>
          <w:rFonts w:ascii="Arial" w:hAnsi="Arial" w:cs="Arial"/>
        </w:rPr>
        <w:t xml:space="preserve">Son grandes retos a los que todos nos tenemos que enfrentar, coadyuvando por el bienestar social. </w:t>
      </w:r>
    </w:p>
    <w:p w14:paraId="43A476CF" w14:textId="378AE835" w:rsidR="00443858" w:rsidRDefault="00443858" w:rsidP="00C35268">
      <w:pPr>
        <w:spacing w:line="360" w:lineRule="auto"/>
        <w:jc w:val="both"/>
        <w:rPr>
          <w:rFonts w:ascii="Arial" w:hAnsi="Arial" w:cs="Arial"/>
        </w:rPr>
      </w:pPr>
      <w:r>
        <w:rPr>
          <w:rFonts w:ascii="Arial" w:hAnsi="Arial" w:cs="Arial"/>
        </w:rPr>
        <w:t>Diariamente se presentan nuevas necesidades, el gobierno actual se preocupa principalmente por el pilar social: disminuir la pobreza, salud y vivienda digna, educación; no restando importancia al ambiente sano, por ello las decisiones importantes para que sean de mejora. Además de vivir y convivir en un territorio donde se pueda gozar de seguridad, justicia</w:t>
      </w:r>
      <w:r w:rsidR="002C6DA1">
        <w:rPr>
          <w:rFonts w:ascii="Arial" w:hAnsi="Arial" w:cs="Arial"/>
        </w:rPr>
        <w:t xml:space="preserve">, plenitud y respeto. La importancia de estar actualizados en tecnología, ya que es la nueva manera de interactuar que todas las personas estamos haciendo de ella algo indispensable para nuestras diferentes relaciones. Se trata de un compromiso entre gobierno, autoridades y población, sin distinción alguna; todos unidos en una comunidad. </w:t>
      </w:r>
    </w:p>
    <w:p w14:paraId="316D1325" w14:textId="77777777" w:rsidR="007B777D" w:rsidRPr="007B777D" w:rsidRDefault="007B777D" w:rsidP="00830B0F">
      <w:pPr>
        <w:spacing w:line="360" w:lineRule="auto"/>
        <w:jc w:val="right"/>
        <w:rPr>
          <w:rFonts w:ascii="Arial" w:hAnsi="Arial" w:cs="Arial"/>
          <w:color w:val="000000" w:themeColor="text1"/>
        </w:rPr>
      </w:pPr>
      <w:r>
        <w:rPr>
          <w:rFonts w:asciiTheme="majorHAnsi" w:eastAsiaTheme="majorEastAsia" w:hAnsiTheme="majorHAnsi" w:cstheme="majorBidi"/>
          <w:color w:val="2F5496" w:themeColor="accent1" w:themeShade="BF"/>
          <w:sz w:val="32"/>
          <w:szCs w:val="32"/>
        </w:rPr>
        <w:br w:type="page"/>
      </w:r>
    </w:p>
    <w:p w14:paraId="75CD975B" w14:textId="59F334DC" w:rsidR="007B777D" w:rsidRDefault="007B777D" w:rsidP="00830B0F">
      <w:pPr>
        <w:spacing w:after="0"/>
        <w:jc w:val="right"/>
        <w:rPr>
          <w:rFonts w:ascii="Times New Roman" w:eastAsia="Times New Roman" w:hAnsi="Times New Roman" w:cs="Times New Roman"/>
          <w:sz w:val="24"/>
          <w:szCs w:val="24"/>
          <w:lang w:val="es-AR" w:eastAsia="es-AR"/>
        </w:rPr>
      </w:pPr>
    </w:p>
    <w:bookmarkStart w:id="24" w:name="_Toc90995824" w:displacedByCustomXml="next"/>
    <w:sdt>
      <w:sdtPr>
        <w:rPr>
          <w:rFonts w:asciiTheme="minorHAnsi" w:eastAsiaTheme="minorEastAsia" w:hAnsiTheme="minorHAnsi" w:cstheme="minorBidi"/>
          <w:color w:val="auto"/>
          <w:sz w:val="20"/>
          <w:szCs w:val="20"/>
          <w:lang w:val="es-ES"/>
        </w:rPr>
        <w:id w:val="979971827"/>
        <w:docPartObj>
          <w:docPartGallery w:val="Bibliographies"/>
          <w:docPartUnique/>
        </w:docPartObj>
      </w:sdtPr>
      <w:sdtEndPr>
        <w:rPr>
          <w:lang w:val="es-MX"/>
        </w:rPr>
      </w:sdtEndPr>
      <w:sdtContent>
        <w:p w14:paraId="6FE5FF4B" w14:textId="7F5286AC" w:rsidR="00510429" w:rsidRPr="009D5257" w:rsidRDefault="00510429" w:rsidP="00730BBA">
          <w:pPr>
            <w:pStyle w:val="Ttulo1"/>
            <w:spacing w:line="360" w:lineRule="auto"/>
          </w:pPr>
          <w:r w:rsidRPr="009D5257">
            <w:t>BIBLIOGRAFÍA</w:t>
          </w:r>
          <w:bookmarkEnd w:id="24"/>
        </w:p>
        <w:p w14:paraId="1C056D59" w14:textId="77777777" w:rsidR="00510429" w:rsidRPr="00510429" w:rsidRDefault="00510429" w:rsidP="00830B0F">
          <w:pPr>
            <w:jc w:val="right"/>
            <w:rPr>
              <w:lang w:val="es-ES"/>
            </w:rPr>
          </w:pPr>
        </w:p>
        <w:sdt>
          <w:sdtPr>
            <w:rPr>
              <w:rFonts w:ascii="Arial" w:hAnsi="Arial" w:cs="Arial"/>
            </w:rPr>
            <w:id w:val="111145805"/>
            <w:bibliography/>
          </w:sdtPr>
          <w:sdtEndPr>
            <w:rPr>
              <w:rFonts w:asciiTheme="minorHAnsi" w:hAnsiTheme="minorHAnsi" w:cstheme="minorBidi"/>
            </w:rPr>
          </w:sdtEndPr>
          <w:sdtContent>
            <w:p w14:paraId="25DF9F45" w14:textId="77777777" w:rsidR="00510429" w:rsidRPr="00730BBA" w:rsidRDefault="00510429" w:rsidP="00036B4A">
              <w:pPr>
                <w:pStyle w:val="Bibliografa"/>
                <w:spacing w:line="360" w:lineRule="auto"/>
                <w:ind w:left="720" w:hanging="720"/>
                <w:jc w:val="both"/>
                <w:rPr>
                  <w:rFonts w:ascii="Arial" w:hAnsi="Arial" w:cs="Arial"/>
                  <w:noProof/>
                </w:rPr>
              </w:pPr>
              <w:r w:rsidRPr="00730BBA">
                <w:rPr>
                  <w:rFonts w:ascii="Arial" w:hAnsi="Arial" w:cs="Arial"/>
                </w:rPr>
                <w:fldChar w:fldCharType="begin"/>
              </w:r>
              <w:r w:rsidRPr="00730BBA">
                <w:rPr>
                  <w:rFonts w:ascii="Arial" w:hAnsi="Arial" w:cs="Arial"/>
                </w:rPr>
                <w:instrText>BIBLIOGRAPHY</w:instrText>
              </w:r>
              <w:r w:rsidRPr="00730BBA">
                <w:rPr>
                  <w:rFonts w:ascii="Arial" w:hAnsi="Arial" w:cs="Arial"/>
                </w:rPr>
                <w:fldChar w:fldCharType="separate"/>
              </w:r>
              <w:r w:rsidRPr="00730BBA">
                <w:rPr>
                  <w:rFonts w:ascii="Arial" w:hAnsi="Arial" w:cs="Arial"/>
                  <w:noProof/>
                </w:rPr>
                <w:t xml:space="preserve">Federación, D. O. (13 de 07 de 2018). </w:t>
              </w:r>
              <w:r w:rsidRPr="00730BBA">
                <w:rPr>
                  <w:rFonts w:ascii="Arial" w:hAnsi="Arial" w:cs="Arial"/>
                  <w:iCs/>
                  <w:noProof/>
                </w:rPr>
                <w:t>Acuerdo por el que se emite el Manual de Organización y Operación del Sistema Nacional de Protección Civil.</w:t>
              </w:r>
              <w:r w:rsidRPr="00730BBA">
                <w:rPr>
                  <w:rFonts w:ascii="Arial" w:hAnsi="Arial" w:cs="Arial"/>
                  <w:noProof/>
                </w:rPr>
                <w:t xml:space="preserve"> Recuperado el 09 de 2021, de https://www.dof.gob.mx/nota_detalle.php?codigo=5531489&amp;fecha=13/07/2018</w:t>
              </w:r>
            </w:p>
            <w:p w14:paraId="0EEDE1DA" w14:textId="77777777" w:rsidR="00510429" w:rsidRPr="00730BBA" w:rsidRDefault="00510429" w:rsidP="00036B4A">
              <w:pPr>
                <w:pStyle w:val="Bibliografa"/>
                <w:spacing w:line="360" w:lineRule="auto"/>
                <w:ind w:left="720" w:hanging="720"/>
                <w:jc w:val="both"/>
                <w:rPr>
                  <w:rFonts w:ascii="Arial" w:hAnsi="Arial" w:cs="Arial"/>
                  <w:noProof/>
                  <w:lang w:val="es-ES"/>
                </w:rPr>
              </w:pPr>
              <w:r w:rsidRPr="00730BBA">
                <w:rPr>
                  <w:rFonts w:ascii="Arial" w:hAnsi="Arial" w:cs="Arial"/>
                  <w:noProof/>
                  <w:lang w:val="es-ES"/>
                </w:rPr>
                <w:t xml:space="preserve">FISCAL., T. (s.f.). </w:t>
              </w:r>
              <w:r w:rsidRPr="00730BBA">
                <w:rPr>
                  <w:rFonts w:ascii="Arial" w:hAnsi="Arial" w:cs="Arial"/>
                  <w:iCs/>
                  <w:noProof/>
                  <w:lang w:val="es-ES"/>
                </w:rPr>
                <w:t>CUARTO INFORME DE GOBIERNO.</w:t>
              </w:r>
              <w:r w:rsidRPr="00730BBA">
                <w:rPr>
                  <w:rFonts w:ascii="Arial" w:hAnsi="Arial" w:cs="Arial"/>
                  <w:noProof/>
                  <w:lang w:val="es-ES"/>
                </w:rPr>
                <w:t xml:space="preserve"> Obtenido de https://transparenciafiscal.edomex.gob.mx/sites/transparenciafiscal.edomex.gob.mx/files/files/pdf/rendicion-cuentas/informe-gobierno/4IR-ANEXO-ESTADISTICO-TOMOI.pdf</w:t>
              </w:r>
            </w:p>
            <w:p w14:paraId="56FE1C1F" w14:textId="77777777" w:rsidR="00510429" w:rsidRPr="00730BBA" w:rsidRDefault="00510429" w:rsidP="00036B4A">
              <w:pPr>
                <w:pStyle w:val="Bibliografa"/>
                <w:spacing w:line="360" w:lineRule="auto"/>
                <w:ind w:left="720" w:hanging="720"/>
                <w:jc w:val="both"/>
                <w:rPr>
                  <w:rFonts w:ascii="Arial" w:hAnsi="Arial" w:cs="Arial"/>
                  <w:noProof/>
                  <w:lang w:val="es-ES"/>
                </w:rPr>
              </w:pPr>
              <w:r w:rsidRPr="00730BBA">
                <w:rPr>
                  <w:rFonts w:ascii="Arial" w:hAnsi="Arial" w:cs="Arial"/>
                  <w:noProof/>
                  <w:lang w:val="es-ES"/>
                </w:rPr>
                <w:t xml:space="preserve">INESLE. (s.f.). </w:t>
              </w:r>
              <w:r w:rsidRPr="00730BBA">
                <w:rPr>
                  <w:rFonts w:ascii="Arial" w:hAnsi="Arial" w:cs="Arial"/>
                  <w:iCs/>
                  <w:noProof/>
                  <w:lang w:val="es-ES"/>
                </w:rPr>
                <w:t>"CUENTA PÚBLICA DEL ESTADO DE MÉXICO 2019".</w:t>
              </w:r>
              <w:r w:rsidRPr="00730BBA">
                <w:rPr>
                  <w:rFonts w:ascii="Arial" w:hAnsi="Arial" w:cs="Arial"/>
                  <w:noProof/>
                  <w:lang w:val="es-ES"/>
                </w:rPr>
                <w:t xml:space="preserve"> Obtenido de http://www.inesle.gob.mx/Investigaciones/2020/13.20%20Cuenta%20Publica%20del%20Gobierno%20del%20Estado%20de%20Mexico%202019.pdf</w:t>
              </w:r>
            </w:p>
            <w:p w14:paraId="6D89A661" w14:textId="77777777" w:rsidR="00510429" w:rsidRPr="00730BBA" w:rsidRDefault="00510429" w:rsidP="00036B4A">
              <w:pPr>
                <w:pStyle w:val="Bibliografa"/>
                <w:spacing w:line="360" w:lineRule="auto"/>
                <w:ind w:left="720" w:hanging="720"/>
                <w:jc w:val="both"/>
                <w:rPr>
                  <w:rFonts w:ascii="Arial" w:hAnsi="Arial" w:cs="Arial"/>
                  <w:noProof/>
                  <w:lang w:val="es-ES"/>
                </w:rPr>
              </w:pPr>
              <w:r w:rsidRPr="00730BBA">
                <w:rPr>
                  <w:rFonts w:ascii="Arial" w:hAnsi="Arial" w:cs="Arial"/>
                  <w:noProof/>
                  <w:lang w:val="es-ES"/>
                </w:rPr>
                <w:t xml:space="preserve">MÉXICO., E. D. (s.f.). </w:t>
              </w:r>
              <w:r w:rsidRPr="00730BBA">
                <w:rPr>
                  <w:rFonts w:ascii="Arial" w:hAnsi="Arial" w:cs="Arial"/>
                  <w:iCs/>
                  <w:noProof/>
                  <w:lang w:val="es-ES"/>
                </w:rPr>
                <w:t>TRANSAPERENCIA FISCAL.</w:t>
              </w:r>
              <w:r w:rsidRPr="00730BBA">
                <w:rPr>
                  <w:rFonts w:ascii="Arial" w:hAnsi="Arial" w:cs="Arial"/>
                  <w:noProof/>
                  <w:lang w:val="es-ES"/>
                </w:rPr>
                <w:t xml:space="preserve"> Obtenido de "DEUDA PÚBLICA 2020 ESTADO DE MÉXICO".: https://transparenciafiscal.edomex.gob.mx/sites/transparenciafiscal.edomex.gob.mx/files/files/pdf/rendicion-cuentas/cuenta-publica-2020/TomoI/8-Deuda-Publica.pdf</w:t>
              </w:r>
            </w:p>
            <w:p w14:paraId="54C0BE44" w14:textId="77777777" w:rsidR="00510429" w:rsidRPr="00730BBA" w:rsidRDefault="00510429" w:rsidP="00036B4A">
              <w:pPr>
                <w:pStyle w:val="Bibliografa"/>
                <w:spacing w:line="360" w:lineRule="auto"/>
                <w:ind w:left="720" w:hanging="720"/>
                <w:jc w:val="both"/>
                <w:rPr>
                  <w:rFonts w:ascii="Arial" w:hAnsi="Arial" w:cs="Arial"/>
                  <w:noProof/>
                  <w:lang w:val="es-ES"/>
                </w:rPr>
              </w:pPr>
              <w:r w:rsidRPr="00730BBA">
                <w:rPr>
                  <w:rFonts w:ascii="Arial" w:hAnsi="Arial" w:cs="Arial"/>
                  <w:noProof/>
                  <w:lang w:val="es-ES"/>
                </w:rPr>
                <w:t xml:space="preserve">México., G. d. (Febrero de 2015). </w:t>
              </w:r>
              <w:r w:rsidRPr="00730BBA">
                <w:rPr>
                  <w:rFonts w:ascii="Arial" w:hAnsi="Arial" w:cs="Arial"/>
                  <w:iCs/>
                  <w:noProof/>
                  <w:lang w:val="es-ES"/>
                </w:rPr>
                <w:t>Atlas de Riesgos del Estado de México.</w:t>
              </w:r>
              <w:r w:rsidRPr="00730BBA">
                <w:rPr>
                  <w:rFonts w:ascii="Arial" w:hAnsi="Arial" w:cs="Arial"/>
                  <w:noProof/>
                  <w:lang w:val="es-ES"/>
                </w:rPr>
                <w:t xml:space="preserve"> Obtenido de http://gaceta.diputados.gob.mx/Gaceta/62/2015/feb/Atlas-20150224.pdf</w:t>
              </w:r>
            </w:p>
            <w:p w14:paraId="01500741" w14:textId="77777777" w:rsidR="00510429" w:rsidRPr="00730BBA" w:rsidRDefault="00510429" w:rsidP="00036B4A">
              <w:pPr>
                <w:pStyle w:val="Bibliografa"/>
                <w:spacing w:line="360" w:lineRule="auto"/>
                <w:ind w:left="720" w:hanging="720"/>
                <w:jc w:val="both"/>
                <w:rPr>
                  <w:rFonts w:ascii="Arial" w:hAnsi="Arial" w:cs="Arial"/>
                  <w:noProof/>
                  <w:lang w:val="es-ES"/>
                </w:rPr>
              </w:pPr>
              <w:r w:rsidRPr="00730BBA">
                <w:rPr>
                  <w:rFonts w:ascii="Arial" w:hAnsi="Arial" w:cs="Arial"/>
                  <w:noProof/>
                  <w:lang w:val="es-ES"/>
                </w:rPr>
                <w:t xml:space="preserve">UAEMEX., P. (s.f.). </w:t>
              </w:r>
              <w:r w:rsidRPr="00730BBA">
                <w:rPr>
                  <w:rFonts w:ascii="Arial" w:hAnsi="Arial" w:cs="Arial"/>
                  <w:iCs/>
                  <w:noProof/>
                  <w:lang w:val="es-ES"/>
                </w:rPr>
                <w:t>PLAN DE DESARROLLO DEL ESTADO DE MÉXICO 2017-2023.</w:t>
              </w:r>
              <w:r w:rsidRPr="00730BBA">
                <w:rPr>
                  <w:rFonts w:ascii="Arial" w:hAnsi="Arial" w:cs="Arial"/>
                  <w:noProof/>
                  <w:lang w:val="es-ES"/>
                </w:rPr>
                <w:t xml:space="preserve"> Obtenido de http://planeacion.uaemex.mx/InfBasCon/GEM/2017-2023/Plan_de_Desarrollo_2017-2023_.pdf</w:t>
              </w:r>
            </w:p>
            <w:p w14:paraId="657FD223" w14:textId="774458C8" w:rsidR="00510429" w:rsidRDefault="00510429" w:rsidP="00830B0F">
              <w:pPr>
                <w:spacing w:line="360" w:lineRule="auto"/>
                <w:jc w:val="right"/>
              </w:pPr>
              <w:r w:rsidRPr="00730BBA">
                <w:rPr>
                  <w:rFonts w:ascii="Arial" w:hAnsi="Arial" w:cs="Arial"/>
                  <w:b/>
                  <w:bCs/>
                </w:rPr>
                <w:fldChar w:fldCharType="end"/>
              </w:r>
            </w:p>
          </w:sdtContent>
        </w:sdt>
      </w:sdtContent>
    </w:sdt>
    <w:p w14:paraId="707D53D3" w14:textId="0048D994" w:rsidR="007B777D" w:rsidRDefault="007B777D" w:rsidP="00830B0F">
      <w:pPr>
        <w:spacing w:after="0"/>
        <w:jc w:val="right"/>
        <w:rPr>
          <w:rFonts w:ascii="Times New Roman" w:eastAsia="Times New Roman" w:hAnsi="Times New Roman" w:cs="Times New Roman"/>
          <w:sz w:val="24"/>
          <w:szCs w:val="24"/>
          <w:lang w:val="es-AR" w:eastAsia="es-AR"/>
        </w:rPr>
      </w:pPr>
    </w:p>
    <w:p w14:paraId="5B2046CC" w14:textId="2FD96DD2" w:rsidR="007B777D" w:rsidRPr="00B91D74" w:rsidRDefault="007B777D" w:rsidP="00830B0F">
      <w:pPr>
        <w:jc w:val="right"/>
        <w:rPr>
          <w:rFonts w:ascii="Times New Roman" w:eastAsia="Times New Roman" w:hAnsi="Times New Roman" w:cs="Times New Roman"/>
          <w:sz w:val="24"/>
          <w:szCs w:val="24"/>
          <w:lang w:val="es-AR" w:eastAsia="es-AR"/>
        </w:rPr>
      </w:pPr>
    </w:p>
    <w:sectPr w:rsidR="007B777D" w:rsidRPr="00B91D74" w:rsidSect="005B0F43">
      <w:headerReference w:type="default" r:id="rId82"/>
      <w:footerReference w:type="first" r:id="rId83"/>
      <w:pgSz w:w="12240" w:h="15840" w:code="1"/>
      <w:pgMar w:top="2835" w:right="1701" w:bottom="2835"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ACA73" w14:textId="77777777" w:rsidR="003F2A25" w:rsidRDefault="003F2A25" w:rsidP="003614C2">
      <w:r>
        <w:separator/>
      </w:r>
    </w:p>
  </w:endnote>
  <w:endnote w:type="continuationSeparator" w:id="0">
    <w:p w14:paraId="5B8AEBBB" w14:textId="77777777" w:rsidR="003F2A25" w:rsidRDefault="003F2A25" w:rsidP="0036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otham Light">
    <w:charset w:val="4D"/>
    <w:family w:val="auto"/>
    <w:pitch w:val="variable"/>
    <w:sig w:usb0="8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Helvetica Neue Light">
    <w:altName w:val="Times New Roman"/>
    <w:charset w:val="00"/>
    <w:family w:val="auto"/>
    <w:pitch w:val="variable"/>
    <w:sig w:usb0="00000001" w:usb1="5000205B" w:usb2="00000002" w:usb3="00000000" w:csb0="00000007" w:csb1="00000000"/>
  </w:font>
  <w:font w:name="HELVETICA NEUE CONDENSED">
    <w:altName w:val="Arial"/>
    <w:charset w:val="00"/>
    <w:family w:val="auto"/>
    <w:pitch w:val="variable"/>
    <w:sig w:usb0="A00002FF" w:usb1="5000205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58AF0" w14:textId="77777777" w:rsidR="00D45913" w:rsidRDefault="00D459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986151"/>
      <w:docPartObj>
        <w:docPartGallery w:val="Page Numbers (Bottom of Page)"/>
        <w:docPartUnique/>
      </w:docPartObj>
    </w:sdtPr>
    <w:sdtEndPr/>
    <w:sdtContent>
      <w:p w14:paraId="67C458F7" w14:textId="7DA1607F" w:rsidR="001D70FB" w:rsidRDefault="001D70FB">
        <w:pPr>
          <w:pStyle w:val="Piedepgina"/>
        </w:pPr>
        <w:r>
          <w:fldChar w:fldCharType="begin"/>
        </w:r>
        <w:r>
          <w:instrText>PAGE   \* MERGEFORMAT</w:instrText>
        </w:r>
        <w:r>
          <w:fldChar w:fldCharType="separate"/>
        </w:r>
        <w:r w:rsidR="00294D52" w:rsidRPr="00294D52">
          <w:rPr>
            <w:noProof/>
            <w:lang w:val="es-ES"/>
          </w:rPr>
          <w:t>1</w:t>
        </w:r>
        <w:r>
          <w:fldChar w:fldCharType="end"/>
        </w:r>
      </w:p>
    </w:sdtContent>
  </w:sdt>
  <w:p w14:paraId="58A63D1F" w14:textId="77777777" w:rsidR="00D45913" w:rsidRDefault="00D4591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1B7B" w14:textId="77777777" w:rsidR="00D45913" w:rsidRDefault="00D4591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3C3D0" w14:textId="71729BBC" w:rsidR="003523E3" w:rsidRDefault="003523E3">
    <w:pPr>
      <w:pStyle w:val="Piedepgina"/>
      <w:jc w:val="right"/>
    </w:pPr>
  </w:p>
  <w:p w14:paraId="320BC22E" w14:textId="77777777" w:rsidR="003523E3" w:rsidRDefault="003523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C2CD2" w14:textId="77777777" w:rsidR="003F2A25" w:rsidRDefault="003F2A25" w:rsidP="003614C2">
      <w:r>
        <w:separator/>
      </w:r>
    </w:p>
  </w:footnote>
  <w:footnote w:type="continuationSeparator" w:id="0">
    <w:p w14:paraId="1D8E4823" w14:textId="77777777" w:rsidR="003F2A25" w:rsidRDefault="003F2A25" w:rsidP="003614C2">
      <w:r>
        <w:continuationSeparator/>
      </w:r>
    </w:p>
  </w:footnote>
  <w:footnote w:id="1">
    <w:p w14:paraId="03CF856A" w14:textId="6E1C00F9" w:rsidR="00AB33CD" w:rsidRPr="00F51655" w:rsidRDefault="00AB33CD" w:rsidP="00AB33CD">
      <w:pPr>
        <w:pStyle w:val="Textonotapie"/>
        <w:jc w:val="both"/>
        <w:rPr>
          <w:rFonts w:ascii="Arial" w:hAnsi="Arial" w:cs="Arial"/>
        </w:rPr>
      </w:pPr>
      <w:r w:rsidRPr="00F51655">
        <w:rPr>
          <w:rStyle w:val="Refdenotaalpie"/>
          <w:rFonts w:ascii="Arial" w:hAnsi="Arial" w:cs="Arial"/>
        </w:rPr>
        <w:footnoteRef/>
      </w:r>
      <w:r w:rsidRPr="00F51655">
        <w:rPr>
          <w:rFonts w:ascii="Arial" w:hAnsi="Arial" w:cs="Arial"/>
        </w:rPr>
        <w:t xml:space="preserve"> Es importante realizarla para dar a conocer las obras y acciones que ejecuta el gobierno y cumplir con lo que estipula la Constitución Política del Estado Libre y Soberano de México. Además, se ent</w:t>
      </w:r>
      <w:r w:rsidR="00B6387E">
        <w:rPr>
          <w:rFonts w:ascii="Arial" w:hAnsi="Arial" w:cs="Arial"/>
        </w:rPr>
        <w:t>rega al Poder Legislativo del Estado de México</w:t>
      </w:r>
      <w:r w:rsidRPr="00F51655">
        <w:rPr>
          <w:rFonts w:ascii="Arial" w:hAnsi="Arial" w:cs="Arial"/>
        </w:rPr>
        <w:t xml:space="preserve"> y, posteriormente, es auditado por el Órgano Superior de Fiscalización del Estado de México (OSFEM). Con ello se rinde cuentas a los mexiquenses y se fortalece la transparencia en el gobierno estatal. </w:t>
      </w:r>
      <w:sdt>
        <w:sdtPr>
          <w:rPr>
            <w:rFonts w:ascii="Arial" w:hAnsi="Arial" w:cs="Arial"/>
          </w:rPr>
          <w:id w:val="-353967918"/>
          <w:citation/>
        </w:sdtPr>
        <w:sdtEndPr/>
        <w:sdtContent>
          <w:r w:rsidRPr="00F51655">
            <w:rPr>
              <w:rFonts w:ascii="Arial" w:hAnsi="Arial" w:cs="Arial"/>
            </w:rPr>
            <w:fldChar w:fldCharType="begin"/>
          </w:r>
          <w:r w:rsidRPr="00F51655">
            <w:rPr>
              <w:rFonts w:ascii="Arial" w:hAnsi="Arial" w:cs="Arial"/>
            </w:rPr>
            <w:instrText xml:space="preserve"> CITATION Cue \l 2058 </w:instrText>
          </w:r>
          <w:r w:rsidRPr="00F51655">
            <w:rPr>
              <w:rFonts w:ascii="Arial" w:hAnsi="Arial" w:cs="Arial"/>
            </w:rPr>
            <w:fldChar w:fldCharType="separate"/>
          </w:r>
          <w:r w:rsidRPr="00F51655">
            <w:rPr>
              <w:rFonts w:ascii="Arial" w:hAnsi="Arial" w:cs="Arial"/>
              <w:noProof/>
            </w:rPr>
            <w:t>(Cuenta Pública del Gobierno)</w:t>
          </w:r>
          <w:r w:rsidRPr="00F51655">
            <w:rPr>
              <w:rFonts w:ascii="Arial" w:hAnsi="Arial" w:cs="Arial"/>
            </w:rPr>
            <w:fldChar w:fldCharType="end"/>
          </w:r>
        </w:sdtContent>
      </w:sdt>
      <w:r w:rsidRPr="00F51655">
        <w:rPr>
          <w:rFonts w:ascii="Arial" w:hAnsi="Arial" w:cs="Arial"/>
        </w:rPr>
        <w:t>.</w:t>
      </w:r>
    </w:p>
  </w:footnote>
  <w:footnote w:id="2">
    <w:p w14:paraId="5BC095F8" w14:textId="77777777" w:rsidR="00E8353A" w:rsidRDefault="00E8353A" w:rsidP="00E8353A">
      <w:pPr>
        <w:pStyle w:val="Textonotapie"/>
      </w:pPr>
      <w:r>
        <w:rPr>
          <w:rStyle w:val="Refdenotaalpie"/>
        </w:rPr>
        <w:footnoteRef/>
      </w:r>
      <w:r>
        <w:t xml:space="preserve"> Indicadores alineados a la meta 1.1 de la Agenda 2030. </w:t>
      </w:r>
    </w:p>
  </w:footnote>
  <w:footnote w:id="3">
    <w:p w14:paraId="064625D6" w14:textId="77777777" w:rsidR="00E8353A" w:rsidRDefault="00E8353A" w:rsidP="00E8353A">
      <w:pPr>
        <w:pStyle w:val="Textonotapie"/>
      </w:pPr>
      <w:r>
        <w:rPr>
          <w:rStyle w:val="Refdenotaalpie"/>
        </w:rPr>
        <w:footnoteRef/>
      </w:r>
      <w:r>
        <w:t xml:space="preserve"> Indicador alineado a las metas 2.1 y 2.2 de la Agenda 2030. </w:t>
      </w:r>
    </w:p>
  </w:footnote>
  <w:footnote w:id="4">
    <w:p w14:paraId="66235122" w14:textId="77777777" w:rsidR="00E010D2" w:rsidRPr="00B91BE4" w:rsidRDefault="00E010D2" w:rsidP="00E010D2">
      <w:pPr>
        <w:pStyle w:val="Textonotapie"/>
        <w:rPr>
          <w:lang w:val="en-US"/>
        </w:rPr>
      </w:pPr>
      <w:r>
        <w:rPr>
          <w:rStyle w:val="Refdenotaalpie"/>
        </w:rPr>
        <w:footnoteRef/>
      </w:r>
      <w:r w:rsidRPr="00B91BE4">
        <w:rPr>
          <w:lang w:val="en-US"/>
        </w:rPr>
        <w:t xml:space="preserve"> Doing Business in Mexico 2016, op.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C955" w14:textId="77777777" w:rsidR="00D45913" w:rsidRDefault="00D4591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27238"/>
      <w:docPartObj>
        <w:docPartGallery w:val="Page Numbers (Top of Page)"/>
        <w:docPartUnique/>
      </w:docPartObj>
    </w:sdtPr>
    <w:sdtEndPr/>
    <w:sdtContent>
      <w:p w14:paraId="47448177" w14:textId="4849D653" w:rsidR="00250B34" w:rsidRDefault="00250B34">
        <w:pPr>
          <w:pStyle w:val="Encabezado"/>
        </w:pPr>
        <w:r>
          <w:fldChar w:fldCharType="begin"/>
        </w:r>
        <w:r>
          <w:instrText>PAGE   \* MERGEFORMAT</w:instrText>
        </w:r>
        <w:r>
          <w:fldChar w:fldCharType="separate"/>
        </w:r>
        <w:r w:rsidR="00294D52" w:rsidRPr="00294D52">
          <w:rPr>
            <w:noProof/>
            <w:lang w:val="es-ES"/>
          </w:rPr>
          <w:t>1</w:t>
        </w:r>
        <w:r>
          <w:fldChar w:fldCharType="end"/>
        </w:r>
      </w:p>
    </w:sdtContent>
  </w:sdt>
  <w:p w14:paraId="7468299E" w14:textId="0C703240" w:rsidR="003614C2" w:rsidRDefault="003614C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89198" w14:textId="77777777" w:rsidR="00D45913" w:rsidRDefault="00D4591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871F3" w14:textId="12F4E16B" w:rsidR="000D3D7D" w:rsidRDefault="00BC5DE9">
    <w:pPr>
      <w:pStyle w:val="Encabezado"/>
    </w:pPr>
    <w:r w:rsidRPr="00A03554">
      <w:rPr>
        <w:noProof/>
        <w:lang w:eastAsia="es-MX"/>
      </w:rPr>
      <w:drawing>
        <wp:anchor distT="0" distB="0" distL="114300" distR="114300" simplePos="0" relativeHeight="251660288" behindDoc="1" locked="0" layoutInCell="1" allowOverlap="1" wp14:anchorId="577878E5" wp14:editId="5F75C1C5">
          <wp:simplePos x="0" y="0"/>
          <wp:positionH relativeFrom="column">
            <wp:posOffset>-927735</wp:posOffset>
          </wp:positionH>
          <wp:positionV relativeFrom="paragraph">
            <wp:posOffset>-450215</wp:posOffset>
          </wp:positionV>
          <wp:extent cx="7769228" cy="11725275"/>
          <wp:effectExtent l="0" t="0" r="317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69228" cy="11725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0F6F146"/>
    <w:lvl w:ilvl="0">
      <w:start w:val="1"/>
      <w:numFmt w:val="decimal"/>
      <w:pStyle w:val="Listaconnmeros2"/>
      <w:lvlText w:val="%1."/>
      <w:lvlJc w:val="left"/>
      <w:pPr>
        <w:tabs>
          <w:tab w:val="num" w:pos="643"/>
        </w:tabs>
        <w:ind w:left="643" w:hanging="360"/>
      </w:pPr>
    </w:lvl>
  </w:abstractNum>
  <w:abstractNum w:abstractNumId="1">
    <w:nsid w:val="016F1BA5"/>
    <w:multiLevelType w:val="hybridMultilevel"/>
    <w:tmpl w:val="BB9E208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70C0F33"/>
    <w:multiLevelType w:val="hybridMultilevel"/>
    <w:tmpl w:val="9E7C76C6"/>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85A0EB7"/>
    <w:multiLevelType w:val="hybridMultilevel"/>
    <w:tmpl w:val="45E8435E"/>
    <w:lvl w:ilvl="0" w:tplc="2C0A0005">
      <w:start w:val="1"/>
      <w:numFmt w:val="bullet"/>
      <w:lvlText w:val=""/>
      <w:lvlJc w:val="left"/>
      <w:pPr>
        <w:ind w:left="840" w:hanging="360"/>
      </w:pPr>
      <w:rPr>
        <w:rFonts w:ascii="Wingdings" w:hAnsi="Wingdings" w:cs="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4">
    <w:nsid w:val="086C47B8"/>
    <w:multiLevelType w:val="hybridMultilevel"/>
    <w:tmpl w:val="51A47D46"/>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EFA4A9F"/>
    <w:multiLevelType w:val="hybridMultilevel"/>
    <w:tmpl w:val="0D6AF6B6"/>
    <w:lvl w:ilvl="0" w:tplc="FF1C8144">
      <w:start w:val="1"/>
      <w:numFmt w:val="upperRoman"/>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45414D8"/>
    <w:multiLevelType w:val="hybridMultilevel"/>
    <w:tmpl w:val="337CA990"/>
    <w:lvl w:ilvl="0" w:tplc="37B6B12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B693096"/>
    <w:multiLevelType w:val="hybridMultilevel"/>
    <w:tmpl w:val="3B72FDD2"/>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C575F38"/>
    <w:multiLevelType w:val="hybridMultilevel"/>
    <w:tmpl w:val="616E51DA"/>
    <w:lvl w:ilvl="0" w:tplc="2C0A0005">
      <w:start w:val="1"/>
      <w:numFmt w:val="bullet"/>
      <w:lvlText w:val=""/>
      <w:lvlJc w:val="left"/>
      <w:pPr>
        <w:ind w:left="1440" w:hanging="360"/>
      </w:pPr>
      <w:rPr>
        <w:rFonts w:ascii="Wingdings" w:hAnsi="Wingdings" w:cs="Wingdings" w:hint="default"/>
      </w:rPr>
    </w:lvl>
    <w:lvl w:ilvl="1" w:tplc="2C0A0005">
      <w:start w:val="1"/>
      <w:numFmt w:val="bullet"/>
      <w:lvlText w:val=""/>
      <w:lvlJc w:val="left"/>
      <w:pPr>
        <w:ind w:left="2160" w:hanging="360"/>
      </w:pPr>
      <w:rPr>
        <w:rFonts w:ascii="Wingdings" w:hAnsi="Wingdings" w:cs="Wingdings" w:hint="default"/>
      </w:rPr>
    </w:lvl>
    <w:lvl w:ilvl="2" w:tplc="A368583A">
      <w:numFmt w:val="bullet"/>
      <w:lvlText w:val="-"/>
      <w:lvlJc w:val="left"/>
      <w:pPr>
        <w:ind w:left="2880" w:hanging="360"/>
      </w:pPr>
      <w:rPr>
        <w:rFonts w:ascii="Arial" w:eastAsiaTheme="minorHAnsi" w:hAnsi="Arial" w:cs="Arial"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1C8423FA"/>
    <w:multiLevelType w:val="hybridMultilevel"/>
    <w:tmpl w:val="F3687660"/>
    <w:lvl w:ilvl="0" w:tplc="C8F0262A">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E3475CA"/>
    <w:multiLevelType w:val="hybridMultilevel"/>
    <w:tmpl w:val="4B568E6E"/>
    <w:lvl w:ilvl="0" w:tplc="2C0A0005">
      <w:start w:val="1"/>
      <w:numFmt w:val="bullet"/>
      <w:lvlText w:val=""/>
      <w:lvlJc w:val="left"/>
      <w:pPr>
        <w:ind w:left="1080" w:hanging="360"/>
      </w:pPr>
      <w:rPr>
        <w:rFonts w:ascii="Wingdings" w:hAnsi="Wingdings" w:cs="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nsid w:val="1E6A7BDA"/>
    <w:multiLevelType w:val="hybridMultilevel"/>
    <w:tmpl w:val="63AE62CA"/>
    <w:lvl w:ilvl="0" w:tplc="BDAC0502">
      <w:start w:val="1"/>
      <w:numFmt w:val="upperRoman"/>
      <w:lvlText w:val="%1."/>
      <w:lvlJc w:val="left"/>
      <w:pPr>
        <w:ind w:left="840" w:hanging="720"/>
      </w:pPr>
      <w:rPr>
        <w:rFonts w:hint="default"/>
        <w:b/>
        <w:sz w:val="20"/>
      </w:rPr>
    </w:lvl>
    <w:lvl w:ilvl="1" w:tplc="2C0A0019" w:tentative="1">
      <w:start w:val="1"/>
      <w:numFmt w:val="lowerLetter"/>
      <w:lvlText w:val="%2."/>
      <w:lvlJc w:val="left"/>
      <w:pPr>
        <w:ind w:left="1200" w:hanging="360"/>
      </w:pPr>
    </w:lvl>
    <w:lvl w:ilvl="2" w:tplc="2C0A001B" w:tentative="1">
      <w:start w:val="1"/>
      <w:numFmt w:val="lowerRoman"/>
      <w:lvlText w:val="%3."/>
      <w:lvlJc w:val="right"/>
      <w:pPr>
        <w:ind w:left="1920" w:hanging="180"/>
      </w:pPr>
    </w:lvl>
    <w:lvl w:ilvl="3" w:tplc="2C0A000F" w:tentative="1">
      <w:start w:val="1"/>
      <w:numFmt w:val="decimal"/>
      <w:lvlText w:val="%4."/>
      <w:lvlJc w:val="left"/>
      <w:pPr>
        <w:ind w:left="2640" w:hanging="360"/>
      </w:pPr>
    </w:lvl>
    <w:lvl w:ilvl="4" w:tplc="2C0A0019" w:tentative="1">
      <w:start w:val="1"/>
      <w:numFmt w:val="lowerLetter"/>
      <w:lvlText w:val="%5."/>
      <w:lvlJc w:val="left"/>
      <w:pPr>
        <w:ind w:left="3360" w:hanging="360"/>
      </w:pPr>
    </w:lvl>
    <w:lvl w:ilvl="5" w:tplc="2C0A001B" w:tentative="1">
      <w:start w:val="1"/>
      <w:numFmt w:val="lowerRoman"/>
      <w:lvlText w:val="%6."/>
      <w:lvlJc w:val="right"/>
      <w:pPr>
        <w:ind w:left="4080" w:hanging="180"/>
      </w:pPr>
    </w:lvl>
    <w:lvl w:ilvl="6" w:tplc="2C0A000F" w:tentative="1">
      <w:start w:val="1"/>
      <w:numFmt w:val="decimal"/>
      <w:lvlText w:val="%7."/>
      <w:lvlJc w:val="left"/>
      <w:pPr>
        <w:ind w:left="4800" w:hanging="360"/>
      </w:pPr>
    </w:lvl>
    <w:lvl w:ilvl="7" w:tplc="2C0A0019" w:tentative="1">
      <w:start w:val="1"/>
      <w:numFmt w:val="lowerLetter"/>
      <w:lvlText w:val="%8."/>
      <w:lvlJc w:val="left"/>
      <w:pPr>
        <w:ind w:left="5520" w:hanging="360"/>
      </w:pPr>
    </w:lvl>
    <w:lvl w:ilvl="8" w:tplc="2C0A001B" w:tentative="1">
      <w:start w:val="1"/>
      <w:numFmt w:val="lowerRoman"/>
      <w:lvlText w:val="%9."/>
      <w:lvlJc w:val="right"/>
      <w:pPr>
        <w:ind w:left="6240" w:hanging="180"/>
      </w:pPr>
    </w:lvl>
  </w:abstractNum>
  <w:abstractNum w:abstractNumId="12">
    <w:nsid w:val="20E07ACD"/>
    <w:multiLevelType w:val="hybridMultilevel"/>
    <w:tmpl w:val="9BE4085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B354DAE"/>
    <w:multiLevelType w:val="hybridMultilevel"/>
    <w:tmpl w:val="5714EB44"/>
    <w:lvl w:ilvl="0" w:tplc="773485D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C526FDD"/>
    <w:multiLevelType w:val="hybridMultilevel"/>
    <w:tmpl w:val="D734A89E"/>
    <w:lvl w:ilvl="0" w:tplc="1500F0B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CE7581C"/>
    <w:multiLevelType w:val="hybridMultilevel"/>
    <w:tmpl w:val="FE048CD6"/>
    <w:lvl w:ilvl="0" w:tplc="DB9CA15E">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082338C"/>
    <w:multiLevelType w:val="hybridMultilevel"/>
    <w:tmpl w:val="745AFFB4"/>
    <w:lvl w:ilvl="0" w:tplc="2C0A000F">
      <w:start w:val="1"/>
      <w:numFmt w:val="decimal"/>
      <w:lvlText w:val="%1."/>
      <w:lvlJc w:val="left"/>
      <w:pPr>
        <w:ind w:left="720" w:hanging="360"/>
      </w:pPr>
      <w:rPr>
        <w:rFonts w:hint="default"/>
      </w:rPr>
    </w:lvl>
    <w:lvl w:ilvl="1" w:tplc="2C6E0118">
      <w:numFmt w:val="bullet"/>
      <w:lvlText w:val=""/>
      <w:lvlJc w:val="left"/>
      <w:pPr>
        <w:ind w:left="1440" w:hanging="360"/>
      </w:pPr>
      <w:rPr>
        <w:rFonts w:ascii="Symbol" w:eastAsiaTheme="minorHAnsi" w:hAnsi="Symbol" w:cstheme="minorBidi"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326B6CE0"/>
    <w:multiLevelType w:val="hybridMultilevel"/>
    <w:tmpl w:val="28C6BE44"/>
    <w:lvl w:ilvl="0" w:tplc="96FCD470">
      <w:start w:val="1"/>
      <w:numFmt w:val="upperRoman"/>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A4A7B9D"/>
    <w:multiLevelType w:val="hybridMultilevel"/>
    <w:tmpl w:val="16E820A0"/>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EBE3C3E"/>
    <w:multiLevelType w:val="hybridMultilevel"/>
    <w:tmpl w:val="88FEE668"/>
    <w:lvl w:ilvl="0" w:tplc="2C0A0005">
      <w:start w:val="1"/>
      <w:numFmt w:val="bullet"/>
      <w:lvlText w:val=""/>
      <w:lvlJc w:val="left"/>
      <w:pPr>
        <w:ind w:left="480" w:hanging="360"/>
      </w:pPr>
      <w:rPr>
        <w:rFonts w:ascii="Wingdings" w:hAnsi="Wingdings" w:cs="Wingdings" w:hint="default"/>
      </w:rPr>
    </w:lvl>
    <w:lvl w:ilvl="1" w:tplc="2C0A0003" w:tentative="1">
      <w:start w:val="1"/>
      <w:numFmt w:val="bullet"/>
      <w:lvlText w:val="o"/>
      <w:lvlJc w:val="left"/>
      <w:pPr>
        <w:ind w:left="1200" w:hanging="360"/>
      </w:pPr>
      <w:rPr>
        <w:rFonts w:ascii="Courier New" w:hAnsi="Courier New" w:cs="Courier New" w:hint="default"/>
      </w:rPr>
    </w:lvl>
    <w:lvl w:ilvl="2" w:tplc="2C0A0005" w:tentative="1">
      <w:start w:val="1"/>
      <w:numFmt w:val="bullet"/>
      <w:lvlText w:val=""/>
      <w:lvlJc w:val="left"/>
      <w:pPr>
        <w:ind w:left="1920" w:hanging="360"/>
      </w:pPr>
      <w:rPr>
        <w:rFonts w:ascii="Wingdings" w:hAnsi="Wingdings" w:hint="default"/>
      </w:rPr>
    </w:lvl>
    <w:lvl w:ilvl="3" w:tplc="2C0A0001" w:tentative="1">
      <w:start w:val="1"/>
      <w:numFmt w:val="bullet"/>
      <w:lvlText w:val=""/>
      <w:lvlJc w:val="left"/>
      <w:pPr>
        <w:ind w:left="2640" w:hanging="360"/>
      </w:pPr>
      <w:rPr>
        <w:rFonts w:ascii="Symbol" w:hAnsi="Symbol" w:hint="default"/>
      </w:rPr>
    </w:lvl>
    <w:lvl w:ilvl="4" w:tplc="2C0A0003" w:tentative="1">
      <w:start w:val="1"/>
      <w:numFmt w:val="bullet"/>
      <w:lvlText w:val="o"/>
      <w:lvlJc w:val="left"/>
      <w:pPr>
        <w:ind w:left="3360" w:hanging="360"/>
      </w:pPr>
      <w:rPr>
        <w:rFonts w:ascii="Courier New" w:hAnsi="Courier New" w:cs="Courier New" w:hint="default"/>
      </w:rPr>
    </w:lvl>
    <w:lvl w:ilvl="5" w:tplc="2C0A0005" w:tentative="1">
      <w:start w:val="1"/>
      <w:numFmt w:val="bullet"/>
      <w:lvlText w:val=""/>
      <w:lvlJc w:val="left"/>
      <w:pPr>
        <w:ind w:left="4080" w:hanging="360"/>
      </w:pPr>
      <w:rPr>
        <w:rFonts w:ascii="Wingdings" w:hAnsi="Wingdings" w:hint="default"/>
      </w:rPr>
    </w:lvl>
    <w:lvl w:ilvl="6" w:tplc="2C0A0001" w:tentative="1">
      <w:start w:val="1"/>
      <w:numFmt w:val="bullet"/>
      <w:lvlText w:val=""/>
      <w:lvlJc w:val="left"/>
      <w:pPr>
        <w:ind w:left="4800" w:hanging="360"/>
      </w:pPr>
      <w:rPr>
        <w:rFonts w:ascii="Symbol" w:hAnsi="Symbol" w:hint="default"/>
      </w:rPr>
    </w:lvl>
    <w:lvl w:ilvl="7" w:tplc="2C0A0003" w:tentative="1">
      <w:start w:val="1"/>
      <w:numFmt w:val="bullet"/>
      <w:lvlText w:val="o"/>
      <w:lvlJc w:val="left"/>
      <w:pPr>
        <w:ind w:left="5520" w:hanging="360"/>
      </w:pPr>
      <w:rPr>
        <w:rFonts w:ascii="Courier New" w:hAnsi="Courier New" w:cs="Courier New" w:hint="default"/>
      </w:rPr>
    </w:lvl>
    <w:lvl w:ilvl="8" w:tplc="2C0A0005" w:tentative="1">
      <w:start w:val="1"/>
      <w:numFmt w:val="bullet"/>
      <w:lvlText w:val=""/>
      <w:lvlJc w:val="left"/>
      <w:pPr>
        <w:ind w:left="6240" w:hanging="360"/>
      </w:pPr>
      <w:rPr>
        <w:rFonts w:ascii="Wingdings" w:hAnsi="Wingdings" w:hint="default"/>
      </w:rPr>
    </w:lvl>
  </w:abstractNum>
  <w:abstractNum w:abstractNumId="20">
    <w:nsid w:val="434871D1"/>
    <w:multiLevelType w:val="hybridMultilevel"/>
    <w:tmpl w:val="E348C3F8"/>
    <w:lvl w:ilvl="0" w:tplc="2C0A0005">
      <w:start w:val="1"/>
      <w:numFmt w:val="bullet"/>
      <w:lvlText w:val=""/>
      <w:lvlJc w:val="left"/>
      <w:pPr>
        <w:ind w:left="840" w:hanging="360"/>
      </w:pPr>
      <w:rPr>
        <w:rFonts w:ascii="Wingdings" w:hAnsi="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21">
    <w:nsid w:val="440A7271"/>
    <w:multiLevelType w:val="hybridMultilevel"/>
    <w:tmpl w:val="2E0AB13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47CB09D0"/>
    <w:multiLevelType w:val="hybridMultilevel"/>
    <w:tmpl w:val="4BF2D802"/>
    <w:lvl w:ilvl="0" w:tplc="2C0A0005">
      <w:start w:val="1"/>
      <w:numFmt w:val="bullet"/>
      <w:lvlText w:val=""/>
      <w:lvlJc w:val="left"/>
      <w:pPr>
        <w:ind w:left="840" w:hanging="360"/>
      </w:pPr>
      <w:rPr>
        <w:rFonts w:ascii="Wingdings" w:hAnsi="Wingdings" w:cs="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23">
    <w:nsid w:val="4B205E5D"/>
    <w:multiLevelType w:val="hybridMultilevel"/>
    <w:tmpl w:val="0B1A5634"/>
    <w:lvl w:ilvl="0" w:tplc="2C0A0017">
      <w:start w:val="1"/>
      <w:numFmt w:val="lowerLetter"/>
      <w:lvlText w:val="%1)"/>
      <w:lvlJc w:val="left"/>
      <w:pPr>
        <w:ind w:left="720" w:hanging="360"/>
      </w:pPr>
    </w:lvl>
    <w:lvl w:ilvl="1" w:tplc="8DFA204A">
      <w:start w:val="1"/>
      <w:numFmt w:val="upperRoman"/>
      <w:lvlText w:val="%2."/>
      <w:lvlJc w:val="left"/>
      <w:pPr>
        <w:ind w:left="1800" w:hanging="720"/>
      </w:pPr>
      <w:rPr>
        <w:rFonts w:hint="default"/>
        <w:b/>
        <w:sz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B5B27B6"/>
    <w:multiLevelType w:val="hybridMultilevel"/>
    <w:tmpl w:val="640A3FD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5666CAC"/>
    <w:multiLevelType w:val="hybridMultilevel"/>
    <w:tmpl w:val="94BEA414"/>
    <w:lvl w:ilvl="0" w:tplc="132250D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623505C"/>
    <w:multiLevelType w:val="hybridMultilevel"/>
    <w:tmpl w:val="3D88F942"/>
    <w:lvl w:ilvl="0" w:tplc="96FCD470">
      <w:start w:val="1"/>
      <w:numFmt w:val="upperRoman"/>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565E1574"/>
    <w:multiLevelType w:val="hybridMultilevel"/>
    <w:tmpl w:val="81B0C042"/>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76631B8"/>
    <w:multiLevelType w:val="hybridMultilevel"/>
    <w:tmpl w:val="5E6E18CA"/>
    <w:lvl w:ilvl="0" w:tplc="9CD62AB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88C3AD4"/>
    <w:multiLevelType w:val="hybridMultilevel"/>
    <w:tmpl w:val="39E68632"/>
    <w:lvl w:ilvl="0" w:tplc="2C0A0005">
      <w:start w:val="1"/>
      <w:numFmt w:val="bullet"/>
      <w:lvlText w:val=""/>
      <w:lvlJc w:val="left"/>
      <w:pPr>
        <w:ind w:left="840" w:hanging="360"/>
      </w:pPr>
      <w:rPr>
        <w:rFonts w:ascii="Wingdings" w:hAnsi="Wingdings" w:cs="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30">
    <w:nsid w:val="5F8839B4"/>
    <w:multiLevelType w:val="hybridMultilevel"/>
    <w:tmpl w:val="CA1881BA"/>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63690E75"/>
    <w:multiLevelType w:val="hybridMultilevel"/>
    <w:tmpl w:val="B2829200"/>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577442E"/>
    <w:multiLevelType w:val="hybridMultilevel"/>
    <w:tmpl w:val="F43AFC46"/>
    <w:lvl w:ilvl="0" w:tplc="B8C8604E">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62C705A"/>
    <w:multiLevelType w:val="hybridMultilevel"/>
    <w:tmpl w:val="E56ACBEC"/>
    <w:lvl w:ilvl="0" w:tplc="2C0A0005">
      <w:start w:val="1"/>
      <w:numFmt w:val="bullet"/>
      <w:lvlText w:val=""/>
      <w:lvlJc w:val="left"/>
      <w:pPr>
        <w:ind w:left="840" w:hanging="360"/>
      </w:pPr>
      <w:rPr>
        <w:rFonts w:ascii="Wingdings" w:hAnsi="Wingdings" w:cs="Wingdings"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34">
    <w:nsid w:val="66C279DC"/>
    <w:multiLevelType w:val="multilevel"/>
    <w:tmpl w:val="929C1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A8F2ECA"/>
    <w:multiLevelType w:val="hybridMultilevel"/>
    <w:tmpl w:val="85E8A4D0"/>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6B613379"/>
    <w:multiLevelType w:val="hybridMultilevel"/>
    <w:tmpl w:val="F1F8363C"/>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6C136AC9"/>
    <w:multiLevelType w:val="hybridMultilevel"/>
    <w:tmpl w:val="A70042DC"/>
    <w:lvl w:ilvl="0" w:tplc="2942388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6D3B5253"/>
    <w:multiLevelType w:val="hybridMultilevel"/>
    <w:tmpl w:val="E8FEF094"/>
    <w:lvl w:ilvl="0" w:tplc="96FCD470">
      <w:start w:val="1"/>
      <w:numFmt w:val="upperRoman"/>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70681131"/>
    <w:multiLevelType w:val="hybridMultilevel"/>
    <w:tmpl w:val="ABA0AA82"/>
    <w:lvl w:ilvl="0" w:tplc="B52AA104">
      <w:start w:val="1"/>
      <w:numFmt w:val="upperRoman"/>
      <w:lvlText w:val="%1."/>
      <w:lvlJc w:val="left"/>
      <w:pPr>
        <w:ind w:left="1080" w:hanging="72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0">
    <w:nsid w:val="70D43B54"/>
    <w:multiLevelType w:val="hybridMultilevel"/>
    <w:tmpl w:val="743C9674"/>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7D0621B3"/>
    <w:multiLevelType w:val="hybridMultilevel"/>
    <w:tmpl w:val="0FCA3FA2"/>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34"/>
  </w:num>
  <w:num w:numId="7">
    <w:abstractNumId w:val="10"/>
  </w:num>
  <w:num w:numId="8">
    <w:abstractNumId w:val="40"/>
  </w:num>
  <w:num w:numId="9">
    <w:abstractNumId w:val="6"/>
  </w:num>
  <w:num w:numId="10">
    <w:abstractNumId w:val="5"/>
  </w:num>
  <w:num w:numId="11">
    <w:abstractNumId w:val="14"/>
  </w:num>
  <w:num w:numId="12">
    <w:abstractNumId w:val="25"/>
  </w:num>
  <w:num w:numId="13">
    <w:abstractNumId w:val="28"/>
  </w:num>
  <w:num w:numId="14">
    <w:abstractNumId w:val="13"/>
  </w:num>
  <w:num w:numId="15">
    <w:abstractNumId w:val="36"/>
  </w:num>
  <w:num w:numId="16">
    <w:abstractNumId w:val="38"/>
  </w:num>
  <w:num w:numId="17">
    <w:abstractNumId w:val="16"/>
  </w:num>
  <w:num w:numId="18">
    <w:abstractNumId w:val="8"/>
  </w:num>
  <w:num w:numId="19">
    <w:abstractNumId w:val="18"/>
  </w:num>
  <w:num w:numId="20">
    <w:abstractNumId w:val="7"/>
  </w:num>
  <w:num w:numId="21">
    <w:abstractNumId w:val="30"/>
  </w:num>
  <w:num w:numId="22">
    <w:abstractNumId w:val="35"/>
  </w:num>
  <w:num w:numId="23">
    <w:abstractNumId w:val="12"/>
  </w:num>
  <w:num w:numId="24">
    <w:abstractNumId w:val="24"/>
  </w:num>
  <w:num w:numId="25">
    <w:abstractNumId w:val="4"/>
  </w:num>
  <w:num w:numId="26">
    <w:abstractNumId w:val="31"/>
  </w:num>
  <w:num w:numId="27">
    <w:abstractNumId w:val="27"/>
  </w:num>
  <w:num w:numId="28">
    <w:abstractNumId w:val="19"/>
  </w:num>
  <w:num w:numId="29">
    <w:abstractNumId w:val="33"/>
  </w:num>
  <w:num w:numId="30">
    <w:abstractNumId w:val="1"/>
  </w:num>
  <w:num w:numId="31">
    <w:abstractNumId w:val="2"/>
  </w:num>
  <w:num w:numId="32">
    <w:abstractNumId w:val="3"/>
  </w:num>
  <w:num w:numId="33">
    <w:abstractNumId w:val="29"/>
  </w:num>
  <w:num w:numId="34">
    <w:abstractNumId w:val="20"/>
  </w:num>
  <w:num w:numId="35">
    <w:abstractNumId w:val="22"/>
  </w:num>
  <w:num w:numId="36">
    <w:abstractNumId w:val="23"/>
  </w:num>
  <w:num w:numId="37">
    <w:abstractNumId w:val="26"/>
  </w:num>
  <w:num w:numId="38">
    <w:abstractNumId w:val="17"/>
  </w:num>
  <w:num w:numId="39">
    <w:abstractNumId w:val="11"/>
  </w:num>
  <w:num w:numId="40">
    <w:abstractNumId w:val="32"/>
  </w:num>
  <w:num w:numId="41">
    <w:abstractNumId w:val="41"/>
  </w:num>
  <w:num w:numId="42">
    <w:abstractNumId w:val="15"/>
  </w:num>
  <w:num w:numId="43">
    <w:abstractNumId w:val="32"/>
  </w:num>
  <w:num w:numId="44">
    <w:abstractNumId w:val="21"/>
  </w:num>
  <w:num w:numId="45">
    <w:abstractNumId w:val="37"/>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4C2"/>
    <w:rsid w:val="00000970"/>
    <w:rsid w:val="00036B4A"/>
    <w:rsid w:val="0003722F"/>
    <w:rsid w:val="00047106"/>
    <w:rsid w:val="00055C40"/>
    <w:rsid w:val="0007202D"/>
    <w:rsid w:val="00073D35"/>
    <w:rsid w:val="00076087"/>
    <w:rsid w:val="00076A23"/>
    <w:rsid w:val="000928EF"/>
    <w:rsid w:val="000A0068"/>
    <w:rsid w:val="000A62C4"/>
    <w:rsid w:val="000C5F25"/>
    <w:rsid w:val="000D3D7D"/>
    <w:rsid w:val="000D609B"/>
    <w:rsid w:val="000E2A41"/>
    <w:rsid w:val="000E6E83"/>
    <w:rsid w:val="000F2A6B"/>
    <w:rsid w:val="000F6FBD"/>
    <w:rsid w:val="00112481"/>
    <w:rsid w:val="001223DD"/>
    <w:rsid w:val="001225E9"/>
    <w:rsid w:val="001230BA"/>
    <w:rsid w:val="00126842"/>
    <w:rsid w:val="001279A6"/>
    <w:rsid w:val="00140514"/>
    <w:rsid w:val="001447B9"/>
    <w:rsid w:val="00157805"/>
    <w:rsid w:val="00196EC7"/>
    <w:rsid w:val="001A21DF"/>
    <w:rsid w:val="001B44C8"/>
    <w:rsid w:val="001C255C"/>
    <w:rsid w:val="001C333A"/>
    <w:rsid w:val="001C4545"/>
    <w:rsid w:val="001D70FB"/>
    <w:rsid w:val="001E3C28"/>
    <w:rsid w:val="001F0BCB"/>
    <w:rsid w:val="002062FC"/>
    <w:rsid w:val="002164C6"/>
    <w:rsid w:val="00217A05"/>
    <w:rsid w:val="00222130"/>
    <w:rsid w:val="00224363"/>
    <w:rsid w:val="00236177"/>
    <w:rsid w:val="00250B34"/>
    <w:rsid w:val="00255DF7"/>
    <w:rsid w:val="00274A1D"/>
    <w:rsid w:val="002831B6"/>
    <w:rsid w:val="0028370D"/>
    <w:rsid w:val="00294D52"/>
    <w:rsid w:val="00295041"/>
    <w:rsid w:val="002A2D54"/>
    <w:rsid w:val="002B7EE1"/>
    <w:rsid w:val="002C6DA1"/>
    <w:rsid w:val="002C7418"/>
    <w:rsid w:val="002D2331"/>
    <w:rsid w:val="00301C24"/>
    <w:rsid w:val="00302D5D"/>
    <w:rsid w:val="0030348D"/>
    <w:rsid w:val="00307E85"/>
    <w:rsid w:val="00320F29"/>
    <w:rsid w:val="00337A50"/>
    <w:rsid w:val="003523E3"/>
    <w:rsid w:val="00352E64"/>
    <w:rsid w:val="00355A8E"/>
    <w:rsid w:val="003614C2"/>
    <w:rsid w:val="00366672"/>
    <w:rsid w:val="00367D1A"/>
    <w:rsid w:val="003700B2"/>
    <w:rsid w:val="0037560B"/>
    <w:rsid w:val="003873B3"/>
    <w:rsid w:val="003A3C69"/>
    <w:rsid w:val="003B2420"/>
    <w:rsid w:val="003D2233"/>
    <w:rsid w:val="003D327F"/>
    <w:rsid w:val="003F2A25"/>
    <w:rsid w:val="003F440F"/>
    <w:rsid w:val="003F475F"/>
    <w:rsid w:val="00404C7D"/>
    <w:rsid w:val="0040700F"/>
    <w:rsid w:val="00410BD6"/>
    <w:rsid w:val="0042022D"/>
    <w:rsid w:val="00423210"/>
    <w:rsid w:val="00423908"/>
    <w:rsid w:val="004245A6"/>
    <w:rsid w:val="00424FA9"/>
    <w:rsid w:val="00427D7E"/>
    <w:rsid w:val="00433DB5"/>
    <w:rsid w:val="00443858"/>
    <w:rsid w:val="00445A02"/>
    <w:rsid w:val="0045420E"/>
    <w:rsid w:val="00455CA9"/>
    <w:rsid w:val="00462C77"/>
    <w:rsid w:val="004708ED"/>
    <w:rsid w:val="00482EC3"/>
    <w:rsid w:val="00492A13"/>
    <w:rsid w:val="004A4371"/>
    <w:rsid w:val="004B5CE5"/>
    <w:rsid w:val="004C2621"/>
    <w:rsid w:val="004C5F0C"/>
    <w:rsid w:val="004E2BB3"/>
    <w:rsid w:val="00507B00"/>
    <w:rsid w:val="00510429"/>
    <w:rsid w:val="0051132C"/>
    <w:rsid w:val="00526F48"/>
    <w:rsid w:val="005312A0"/>
    <w:rsid w:val="00560899"/>
    <w:rsid w:val="0057375E"/>
    <w:rsid w:val="005747D5"/>
    <w:rsid w:val="00574DDA"/>
    <w:rsid w:val="00581AF3"/>
    <w:rsid w:val="00583C23"/>
    <w:rsid w:val="005A0F24"/>
    <w:rsid w:val="005A62A0"/>
    <w:rsid w:val="005A7A9C"/>
    <w:rsid w:val="005B0F43"/>
    <w:rsid w:val="005B21E1"/>
    <w:rsid w:val="005B6968"/>
    <w:rsid w:val="005C0DA6"/>
    <w:rsid w:val="005C1598"/>
    <w:rsid w:val="005C5D36"/>
    <w:rsid w:val="005D60BA"/>
    <w:rsid w:val="005E3488"/>
    <w:rsid w:val="005F78F2"/>
    <w:rsid w:val="006020C7"/>
    <w:rsid w:val="00604DC8"/>
    <w:rsid w:val="006163D1"/>
    <w:rsid w:val="006213D3"/>
    <w:rsid w:val="0062253B"/>
    <w:rsid w:val="00641764"/>
    <w:rsid w:val="00657BEF"/>
    <w:rsid w:val="00657ED9"/>
    <w:rsid w:val="006604A2"/>
    <w:rsid w:val="00666CA5"/>
    <w:rsid w:val="00671C9B"/>
    <w:rsid w:val="006746B5"/>
    <w:rsid w:val="006917DF"/>
    <w:rsid w:val="00694640"/>
    <w:rsid w:val="00695E30"/>
    <w:rsid w:val="00696F63"/>
    <w:rsid w:val="006A055F"/>
    <w:rsid w:val="006A5AAA"/>
    <w:rsid w:val="006C39C4"/>
    <w:rsid w:val="006C62BB"/>
    <w:rsid w:val="006F5FED"/>
    <w:rsid w:val="007019E0"/>
    <w:rsid w:val="00723958"/>
    <w:rsid w:val="00724C3C"/>
    <w:rsid w:val="00730BBA"/>
    <w:rsid w:val="00735E98"/>
    <w:rsid w:val="00741525"/>
    <w:rsid w:val="007457BF"/>
    <w:rsid w:val="00750956"/>
    <w:rsid w:val="00762C99"/>
    <w:rsid w:val="00766EB7"/>
    <w:rsid w:val="007754E9"/>
    <w:rsid w:val="00786F89"/>
    <w:rsid w:val="0079525C"/>
    <w:rsid w:val="007958F4"/>
    <w:rsid w:val="00795A8B"/>
    <w:rsid w:val="007B20D7"/>
    <w:rsid w:val="007B30FD"/>
    <w:rsid w:val="007B777D"/>
    <w:rsid w:val="007C2B2F"/>
    <w:rsid w:val="007C3AF3"/>
    <w:rsid w:val="007D0BC5"/>
    <w:rsid w:val="007E0EB4"/>
    <w:rsid w:val="007E2213"/>
    <w:rsid w:val="007E5D10"/>
    <w:rsid w:val="007F4FAF"/>
    <w:rsid w:val="00806CBA"/>
    <w:rsid w:val="00810A76"/>
    <w:rsid w:val="008159C2"/>
    <w:rsid w:val="00815C5C"/>
    <w:rsid w:val="00825F92"/>
    <w:rsid w:val="0082751F"/>
    <w:rsid w:val="00830B0F"/>
    <w:rsid w:val="00836EEC"/>
    <w:rsid w:val="00853520"/>
    <w:rsid w:val="00857175"/>
    <w:rsid w:val="00862D31"/>
    <w:rsid w:val="00872E83"/>
    <w:rsid w:val="00882809"/>
    <w:rsid w:val="00883B96"/>
    <w:rsid w:val="00897B9C"/>
    <w:rsid w:val="008A3722"/>
    <w:rsid w:val="008A6821"/>
    <w:rsid w:val="008B6D5E"/>
    <w:rsid w:val="008C017D"/>
    <w:rsid w:val="008C18EE"/>
    <w:rsid w:val="008C5D75"/>
    <w:rsid w:val="008D1483"/>
    <w:rsid w:val="008F0A00"/>
    <w:rsid w:val="00927A87"/>
    <w:rsid w:val="009304D5"/>
    <w:rsid w:val="00931500"/>
    <w:rsid w:val="00953E23"/>
    <w:rsid w:val="0095510B"/>
    <w:rsid w:val="00956794"/>
    <w:rsid w:val="00962B8F"/>
    <w:rsid w:val="00962F92"/>
    <w:rsid w:val="00982A66"/>
    <w:rsid w:val="00993238"/>
    <w:rsid w:val="009A6ADD"/>
    <w:rsid w:val="009A741F"/>
    <w:rsid w:val="009B7A9F"/>
    <w:rsid w:val="009C1206"/>
    <w:rsid w:val="009C34A1"/>
    <w:rsid w:val="009C50B9"/>
    <w:rsid w:val="009C5DCA"/>
    <w:rsid w:val="009C5E7E"/>
    <w:rsid w:val="009D07B2"/>
    <w:rsid w:val="009D5257"/>
    <w:rsid w:val="009F20F6"/>
    <w:rsid w:val="009F403A"/>
    <w:rsid w:val="00A127A5"/>
    <w:rsid w:val="00A16217"/>
    <w:rsid w:val="00A16C4D"/>
    <w:rsid w:val="00A20311"/>
    <w:rsid w:val="00A30622"/>
    <w:rsid w:val="00A37DC1"/>
    <w:rsid w:val="00A67609"/>
    <w:rsid w:val="00AB33CD"/>
    <w:rsid w:val="00AC2568"/>
    <w:rsid w:val="00AC60FA"/>
    <w:rsid w:val="00AD1AE5"/>
    <w:rsid w:val="00AD35BD"/>
    <w:rsid w:val="00AE1A8D"/>
    <w:rsid w:val="00B34E88"/>
    <w:rsid w:val="00B36DEA"/>
    <w:rsid w:val="00B4338A"/>
    <w:rsid w:val="00B52165"/>
    <w:rsid w:val="00B6035F"/>
    <w:rsid w:val="00B62441"/>
    <w:rsid w:val="00B6387E"/>
    <w:rsid w:val="00B744B6"/>
    <w:rsid w:val="00B76329"/>
    <w:rsid w:val="00B83876"/>
    <w:rsid w:val="00B91BE4"/>
    <w:rsid w:val="00B91D74"/>
    <w:rsid w:val="00B922C5"/>
    <w:rsid w:val="00BA181F"/>
    <w:rsid w:val="00BB68C2"/>
    <w:rsid w:val="00BC1AB5"/>
    <w:rsid w:val="00BC5DE9"/>
    <w:rsid w:val="00BE06B7"/>
    <w:rsid w:val="00BE6815"/>
    <w:rsid w:val="00C109EB"/>
    <w:rsid w:val="00C212D6"/>
    <w:rsid w:val="00C35268"/>
    <w:rsid w:val="00C43BC2"/>
    <w:rsid w:val="00C57B08"/>
    <w:rsid w:val="00C70A5D"/>
    <w:rsid w:val="00C84113"/>
    <w:rsid w:val="00C913DF"/>
    <w:rsid w:val="00C91E42"/>
    <w:rsid w:val="00C96EF5"/>
    <w:rsid w:val="00CA06AA"/>
    <w:rsid w:val="00CA6817"/>
    <w:rsid w:val="00CA726D"/>
    <w:rsid w:val="00CB1E2B"/>
    <w:rsid w:val="00CB3F8C"/>
    <w:rsid w:val="00CB78E2"/>
    <w:rsid w:val="00CD2053"/>
    <w:rsid w:val="00CD5989"/>
    <w:rsid w:val="00CE6368"/>
    <w:rsid w:val="00CF335B"/>
    <w:rsid w:val="00D00AB2"/>
    <w:rsid w:val="00D1201B"/>
    <w:rsid w:val="00D2018D"/>
    <w:rsid w:val="00D33529"/>
    <w:rsid w:val="00D33713"/>
    <w:rsid w:val="00D37AE9"/>
    <w:rsid w:val="00D45913"/>
    <w:rsid w:val="00D52C56"/>
    <w:rsid w:val="00D6061C"/>
    <w:rsid w:val="00D758AE"/>
    <w:rsid w:val="00D76A4B"/>
    <w:rsid w:val="00D77A80"/>
    <w:rsid w:val="00D802BC"/>
    <w:rsid w:val="00D878DB"/>
    <w:rsid w:val="00D974BD"/>
    <w:rsid w:val="00DB4B5E"/>
    <w:rsid w:val="00DC3179"/>
    <w:rsid w:val="00DE15B3"/>
    <w:rsid w:val="00E010D2"/>
    <w:rsid w:val="00E02FE3"/>
    <w:rsid w:val="00E04171"/>
    <w:rsid w:val="00E63379"/>
    <w:rsid w:val="00E642E2"/>
    <w:rsid w:val="00E66FDB"/>
    <w:rsid w:val="00E71910"/>
    <w:rsid w:val="00E8353A"/>
    <w:rsid w:val="00E85124"/>
    <w:rsid w:val="00EA6E67"/>
    <w:rsid w:val="00EC5F09"/>
    <w:rsid w:val="00ED361E"/>
    <w:rsid w:val="00EE24E1"/>
    <w:rsid w:val="00EE67CD"/>
    <w:rsid w:val="00F1690D"/>
    <w:rsid w:val="00F36B86"/>
    <w:rsid w:val="00F56A98"/>
    <w:rsid w:val="00F61E3D"/>
    <w:rsid w:val="00F64E82"/>
    <w:rsid w:val="00F80CDF"/>
    <w:rsid w:val="00F80FE5"/>
    <w:rsid w:val="00F838E7"/>
    <w:rsid w:val="00F860E4"/>
    <w:rsid w:val="00FD5155"/>
    <w:rsid w:val="00FD63C4"/>
    <w:rsid w:val="00FE13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7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989"/>
  </w:style>
  <w:style w:type="paragraph" w:styleId="Ttulo1">
    <w:name w:val="heading 1"/>
    <w:basedOn w:val="Normal"/>
    <w:next w:val="Normal"/>
    <w:link w:val="Ttulo1Car"/>
    <w:uiPriority w:val="9"/>
    <w:qFormat/>
    <w:rsid w:val="00CD598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D598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CD598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CD598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D59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D59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D598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CD598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D59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2">
    <w:name w:val="List Number 2"/>
    <w:basedOn w:val="Normal"/>
    <w:autoRedefine/>
    <w:rsid w:val="003D327F"/>
    <w:pPr>
      <w:numPr>
        <w:numId w:val="5"/>
      </w:numPr>
      <w:contextualSpacing/>
    </w:pPr>
    <w:rPr>
      <w:color w:val="5A5A5A"/>
    </w:rPr>
  </w:style>
  <w:style w:type="paragraph" w:styleId="Subttulo">
    <w:name w:val="Subtitle"/>
    <w:basedOn w:val="Normal"/>
    <w:next w:val="Normal"/>
    <w:link w:val="SubttuloCar"/>
    <w:uiPriority w:val="11"/>
    <w:qFormat/>
    <w:rsid w:val="00CD598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D5989"/>
    <w:rPr>
      <w:rFonts w:asciiTheme="majorHAnsi" w:eastAsiaTheme="majorEastAsia" w:hAnsiTheme="majorHAnsi" w:cstheme="majorBidi"/>
      <w:sz w:val="24"/>
      <w:szCs w:val="24"/>
    </w:rPr>
  </w:style>
  <w:style w:type="paragraph" w:styleId="Ttulo">
    <w:name w:val="Title"/>
    <w:basedOn w:val="Normal"/>
    <w:next w:val="Normal"/>
    <w:link w:val="TtuloCar"/>
    <w:uiPriority w:val="10"/>
    <w:qFormat/>
    <w:rsid w:val="00CD598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CD5989"/>
    <w:rPr>
      <w:rFonts w:asciiTheme="majorHAnsi" w:eastAsiaTheme="majorEastAsia" w:hAnsiTheme="majorHAnsi" w:cstheme="majorBidi"/>
      <w:color w:val="4472C4" w:themeColor="accent1"/>
      <w:spacing w:val="-10"/>
      <w:sz w:val="56"/>
      <w:szCs w:val="56"/>
    </w:rPr>
  </w:style>
  <w:style w:type="paragraph" w:customStyle="1" w:styleId="Estilo1">
    <w:name w:val="Estilo1"/>
    <w:basedOn w:val="Ttulo3"/>
    <w:rsid w:val="00AC2568"/>
    <w:rPr>
      <w:b/>
      <w:color w:val="2F5496" w:themeColor="accent1" w:themeShade="BF"/>
      <w:lang w:val="es-ES"/>
    </w:rPr>
  </w:style>
  <w:style w:type="character" w:customStyle="1" w:styleId="Ttulo3Car">
    <w:name w:val="Título 3 Car"/>
    <w:basedOn w:val="Fuentedeprrafopredeter"/>
    <w:link w:val="Ttulo3"/>
    <w:uiPriority w:val="9"/>
    <w:rsid w:val="00CD5989"/>
    <w:rPr>
      <w:rFonts w:asciiTheme="majorHAnsi" w:eastAsiaTheme="majorEastAsia" w:hAnsiTheme="majorHAnsi" w:cstheme="majorBidi"/>
      <w:color w:val="44546A" w:themeColor="text2"/>
      <w:sz w:val="24"/>
      <w:szCs w:val="24"/>
    </w:rPr>
  </w:style>
  <w:style w:type="paragraph" w:styleId="Prrafodelista">
    <w:name w:val="List Paragraph"/>
    <w:basedOn w:val="Normal"/>
    <w:uiPriority w:val="34"/>
    <w:qFormat/>
    <w:rsid w:val="00AD1AE5"/>
    <w:pPr>
      <w:ind w:left="720"/>
      <w:contextualSpacing/>
    </w:pPr>
  </w:style>
  <w:style w:type="paragraph" w:styleId="Encabezado">
    <w:name w:val="header"/>
    <w:basedOn w:val="Normal"/>
    <w:link w:val="EncabezadoCar"/>
    <w:uiPriority w:val="99"/>
    <w:unhideWhenUsed/>
    <w:rsid w:val="003614C2"/>
    <w:pPr>
      <w:tabs>
        <w:tab w:val="center" w:pos="4419"/>
        <w:tab w:val="right" w:pos="8838"/>
      </w:tabs>
    </w:pPr>
  </w:style>
  <w:style w:type="character" w:customStyle="1" w:styleId="EncabezadoCar">
    <w:name w:val="Encabezado Car"/>
    <w:basedOn w:val="Fuentedeprrafopredeter"/>
    <w:link w:val="Encabezado"/>
    <w:uiPriority w:val="99"/>
    <w:rsid w:val="003614C2"/>
    <w:rPr>
      <w:rFonts w:ascii="Gotham Light" w:hAnsi="Gotham Light" w:cs="Times New Roman"/>
      <w:sz w:val="22"/>
      <w:lang w:eastAsia="es-ES_tradnl"/>
    </w:rPr>
  </w:style>
  <w:style w:type="paragraph" w:styleId="Piedepgina">
    <w:name w:val="footer"/>
    <w:basedOn w:val="Normal"/>
    <w:link w:val="PiedepginaCar"/>
    <w:uiPriority w:val="99"/>
    <w:unhideWhenUsed/>
    <w:rsid w:val="003614C2"/>
    <w:pPr>
      <w:tabs>
        <w:tab w:val="center" w:pos="4419"/>
        <w:tab w:val="right" w:pos="8838"/>
      </w:tabs>
    </w:pPr>
  </w:style>
  <w:style w:type="character" w:customStyle="1" w:styleId="PiedepginaCar">
    <w:name w:val="Pie de página Car"/>
    <w:basedOn w:val="Fuentedeprrafopredeter"/>
    <w:link w:val="Piedepgina"/>
    <w:uiPriority w:val="99"/>
    <w:rsid w:val="003614C2"/>
    <w:rPr>
      <w:rFonts w:ascii="Gotham Light" w:hAnsi="Gotham Light" w:cs="Times New Roman"/>
      <w:sz w:val="22"/>
      <w:lang w:eastAsia="es-ES_tradnl"/>
    </w:rPr>
  </w:style>
  <w:style w:type="character" w:customStyle="1" w:styleId="Ttulo1Car">
    <w:name w:val="Título 1 Car"/>
    <w:basedOn w:val="Fuentedeprrafopredeter"/>
    <w:link w:val="Ttulo1"/>
    <w:uiPriority w:val="9"/>
    <w:rsid w:val="00CD598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D5989"/>
    <w:rPr>
      <w:rFonts w:asciiTheme="majorHAnsi" w:eastAsiaTheme="majorEastAsia" w:hAnsiTheme="majorHAnsi" w:cstheme="majorBidi"/>
      <w:color w:val="404040" w:themeColor="text1" w:themeTint="BF"/>
      <w:sz w:val="28"/>
      <w:szCs w:val="28"/>
    </w:rPr>
  </w:style>
  <w:style w:type="character" w:styleId="Hipervnculo">
    <w:name w:val="Hyperlink"/>
    <w:basedOn w:val="Fuentedeprrafopredeter"/>
    <w:uiPriority w:val="99"/>
    <w:unhideWhenUsed/>
    <w:rsid w:val="005F78F2"/>
    <w:rPr>
      <w:color w:val="0563C1" w:themeColor="hyperlink"/>
      <w:u w:val="single"/>
    </w:rPr>
  </w:style>
  <w:style w:type="paragraph" w:styleId="Textonotapie">
    <w:name w:val="footnote text"/>
    <w:basedOn w:val="Normal"/>
    <w:link w:val="TextonotapieCar"/>
    <w:uiPriority w:val="99"/>
    <w:unhideWhenUsed/>
    <w:rsid w:val="005F78F2"/>
    <w:rPr>
      <w:rFonts w:eastAsiaTheme="minorHAnsi"/>
    </w:rPr>
  </w:style>
  <w:style w:type="character" w:customStyle="1" w:styleId="TextonotapieCar">
    <w:name w:val="Texto nota pie Car"/>
    <w:basedOn w:val="Fuentedeprrafopredeter"/>
    <w:link w:val="Textonotapie"/>
    <w:uiPriority w:val="99"/>
    <w:rsid w:val="005F78F2"/>
    <w:rPr>
      <w:rFonts w:eastAsiaTheme="minorHAnsi"/>
      <w:sz w:val="20"/>
      <w:szCs w:val="20"/>
    </w:rPr>
  </w:style>
  <w:style w:type="character" w:styleId="Refdenotaalpie">
    <w:name w:val="footnote reference"/>
    <w:basedOn w:val="Fuentedeprrafopredeter"/>
    <w:uiPriority w:val="99"/>
    <w:semiHidden/>
    <w:unhideWhenUsed/>
    <w:rsid w:val="005F78F2"/>
    <w:rPr>
      <w:vertAlign w:val="superscript"/>
    </w:rPr>
  </w:style>
  <w:style w:type="paragraph" w:styleId="Sinespaciado">
    <w:name w:val="No Spacing"/>
    <w:link w:val="SinespaciadoCar"/>
    <w:uiPriority w:val="1"/>
    <w:qFormat/>
    <w:rsid w:val="00CD5989"/>
    <w:pPr>
      <w:spacing w:after="0" w:line="240" w:lineRule="auto"/>
    </w:pPr>
  </w:style>
  <w:style w:type="character" w:customStyle="1" w:styleId="SinespaciadoCar">
    <w:name w:val="Sin espaciado Car"/>
    <w:basedOn w:val="Fuentedeprrafopredeter"/>
    <w:link w:val="Sinespaciado"/>
    <w:uiPriority w:val="1"/>
    <w:rsid w:val="005F78F2"/>
  </w:style>
  <w:style w:type="character" w:customStyle="1" w:styleId="jsgrdq">
    <w:name w:val="jsgrdq"/>
    <w:basedOn w:val="Fuentedeprrafopredeter"/>
    <w:rsid w:val="005F78F2"/>
  </w:style>
  <w:style w:type="paragraph" w:styleId="TtulodeTDC">
    <w:name w:val="TOC Heading"/>
    <w:basedOn w:val="Ttulo1"/>
    <w:next w:val="Normal"/>
    <w:uiPriority w:val="39"/>
    <w:unhideWhenUsed/>
    <w:qFormat/>
    <w:rsid w:val="00CD5989"/>
    <w:pPr>
      <w:outlineLvl w:val="9"/>
    </w:pPr>
  </w:style>
  <w:style w:type="paragraph" w:styleId="TDC1">
    <w:name w:val="toc 1"/>
    <w:basedOn w:val="Normal"/>
    <w:next w:val="Normal"/>
    <w:autoRedefine/>
    <w:uiPriority w:val="39"/>
    <w:unhideWhenUsed/>
    <w:rsid w:val="006A055F"/>
    <w:pPr>
      <w:tabs>
        <w:tab w:val="right" w:leader="dot" w:pos="8828"/>
      </w:tabs>
      <w:spacing w:after="100" w:line="276" w:lineRule="auto"/>
      <w:jc w:val="both"/>
    </w:pPr>
    <w:rPr>
      <w:rFonts w:eastAsiaTheme="minorHAnsi"/>
      <w:szCs w:val="22"/>
    </w:rPr>
  </w:style>
  <w:style w:type="paragraph" w:styleId="TDC2">
    <w:name w:val="toc 2"/>
    <w:basedOn w:val="Normal"/>
    <w:next w:val="Normal"/>
    <w:autoRedefine/>
    <w:uiPriority w:val="39"/>
    <w:unhideWhenUsed/>
    <w:rsid w:val="006A055F"/>
    <w:pPr>
      <w:tabs>
        <w:tab w:val="right" w:leader="dot" w:pos="8828"/>
      </w:tabs>
      <w:spacing w:after="100" w:line="276" w:lineRule="auto"/>
      <w:ind w:left="220"/>
      <w:jc w:val="both"/>
    </w:pPr>
    <w:rPr>
      <w:rFonts w:eastAsiaTheme="minorHAnsi"/>
      <w:szCs w:val="22"/>
    </w:rPr>
  </w:style>
  <w:style w:type="paragraph" w:styleId="TDC3">
    <w:name w:val="toc 3"/>
    <w:basedOn w:val="Normal"/>
    <w:next w:val="Normal"/>
    <w:autoRedefine/>
    <w:uiPriority w:val="39"/>
    <w:unhideWhenUsed/>
    <w:rsid w:val="005F78F2"/>
    <w:pPr>
      <w:spacing w:after="100" w:line="276" w:lineRule="auto"/>
      <w:ind w:left="440"/>
    </w:pPr>
    <w:rPr>
      <w:rFonts w:eastAsiaTheme="minorHAnsi"/>
      <w:szCs w:val="22"/>
    </w:rPr>
  </w:style>
  <w:style w:type="paragraph" w:customStyle="1" w:styleId="sangria">
    <w:name w:val="sangria"/>
    <w:basedOn w:val="Normal"/>
    <w:uiPriority w:val="99"/>
    <w:semiHidden/>
    <w:rsid w:val="005F78F2"/>
    <w:pPr>
      <w:spacing w:before="100" w:beforeAutospacing="1" w:after="100" w:afterAutospacing="1"/>
    </w:pPr>
    <w:rPr>
      <w:rFonts w:ascii="Times New Roman" w:hAnsi="Times New Roman"/>
      <w:sz w:val="24"/>
      <w:lang w:eastAsia="es-MX"/>
    </w:rPr>
  </w:style>
  <w:style w:type="character" w:customStyle="1" w:styleId="Ttulo4Car">
    <w:name w:val="Título 4 Car"/>
    <w:basedOn w:val="Fuentedeprrafopredeter"/>
    <w:link w:val="Ttulo4"/>
    <w:uiPriority w:val="9"/>
    <w:semiHidden/>
    <w:rsid w:val="00CD598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CD598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D598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D5989"/>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CD598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D5989"/>
    <w:rPr>
      <w:rFonts w:asciiTheme="majorHAnsi" w:eastAsiaTheme="majorEastAsia" w:hAnsiTheme="majorHAnsi" w:cstheme="majorBidi"/>
      <w:b/>
      <w:bCs/>
      <w:i/>
      <w:iCs/>
      <w:color w:val="44546A" w:themeColor="text2"/>
    </w:rPr>
  </w:style>
  <w:style w:type="paragraph" w:styleId="Epgrafe">
    <w:name w:val="caption"/>
    <w:basedOn w:val="Normal"/>
    <w:next w:val="Normal"/>
    <w:uiPriority w:val="35"/>
    <w:semiHidden/>
    <w:unhideWhenUsed/>
    <w:qFormat/>
    <w:rsid w:val="00CD5989"/>
    <w:pPr>
      <w:spacing w:line="240" w:lineRule="auto"/>
    </w:pPr>
    <w:rPr>
      <w:b/>
      <w:bCs/>
      <w:smallCaps/>
      <w:color w:val="595959" w:themeColor="text1" w:themeTint="A6"/>
      <w:spacing w:val="6"/>
    </w:rPr>
  </w:style>
  <w:style w:type="character" w:styleId="Textoennegrita">
    <w:name w:val="Strong"/>
    <w:basedOn w:val="Fuentedeprrafopredeter"/>
    <w:uiPriority w:val="22"/>
    <w:qFormat/>
    <w:rsid w:val="00CD5989"/>
    <w:rPr>
      <w:b/>
      <w:bCs/>
    </w:rPr>
  </w:style>
  <w:style w:type="character" w:styleId="nfasis">
    <w:name w:val="Emphasis"/>
    <w:basedOn w:val="Fuentedeprrafopredeter"/>
    <w:uiPriority w:val="20"/>
    <w:qFormat/>
    <w:rsid w:val="00CD5989"/>
    <w:rPr>
      <w:i/>
      <w:iCs/>
    </w:rPr>
  </w:style>
  <w:style w:type="paragraph" w:styleId="Cita">
    <w:name w:val="Quote"/>
    <w:basedOn w:val="Normal"/>
    <w:next w:val="Normal"/>
    <w:link w:val="CitaCar"/>
    <w:uiPriority w:val="29"/>
    <w:qFormat/>
    <w:rsid w:val="00CD598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D5989"/>
    <w:rPr>
      <w:i/>
      <w:iCs/>
      <w:color w:val="404040" w:themeColor="text1" w:themeTint="BF"/>
    </w:rPr>
  </w:style>
  <w:style w:type="paragraph" w:styleId="Citadestacada">
    <w:name w:val="Intense Quote"/>
    <w:basedOn w:val="Normal"/>
    <w:next w:val="Normal"/>
    <w:link w:val="CitadestacadaCar"/>
    <w:uiPriority w:val="30"/>
    <w:qFormat/>
    <w:rsid w:val="00CD598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CD5989"/>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CD5989"/>
    <w:rPr>
      <w:i/>
      <w:iCs/>
      <w:color w:val="404040" w:themeColor="text1" w:themeTint="BF"/>
    </w:rPr>
  </w:style>
  <w:style w:type="character" w:styleId="nfasisintenso">
    <w:name w:val="Intense Emphasis"/>
    <w:basedOn w:val="Fuentedeprrafopredeter"/>
    <w:uiPriority w:val="21"/>
    <w:qFormat/>
    <w:rsid w:val="00CD5989"/>
    <w:rPr>
      <w:b/>
      <w:bCs/>
      <w:i/>
      <w:iCs/>
    </w:rPr>
  </w:style>
  <w:style w:type="character" w:styleId="Referenciasutil">
    <w:name w:val="Subtle Reference"/>
    <w:basedOn w:val="Fuentedeprrafopredeter"/>
    <w:uiPriority w:val="31"/>
    <w:qFormat/>
    <w:rsid w:val="00CD598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D5989"/>
    <w:rPr>
      <w:b/>
      <w:bCs/>
      <w:smallCaps/>
      <w:spacing w:val="5"/>
      <w:u w:val="single"/>
    </w:rPr>
  </w:style>
  <w:style w:type="character" w:styleId="Ttulodellibro">
    <w:name w:val="Book Title"/>
    <w:basedOn w:val="Fuentedeprrafopredeter"/>
    <w:uiPriority w:val="33"/>
    <w:qFormat/>
    <w:rsid w:val="00CD5989"/>
    <w:rPr>
      <w:b/>
      <w:bCs/>
      <w:smallCaps/>
    </w:rPr>
  </w:style>
  <w:style w:type="paragraph" w:styleId="NormalWeb">
    <w:name w:val="Normal (Web)"/>
    <w:basedOn w:val="Normal"/>
    <w:uiPriority w:val="99"/>
    <w:unhideWhenUsed/>
    <w:rsid w:val="00AE1A8D"/>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notaalfinal">
    <w:name w:val="endnote text"/>
    <w:basedOn w:val="Normal"/>
    <w:link w:val="TextonotaalfinalCar"/>
    <w:uiPriority w:val="99"/>
    <w:semiHidden/>
    <w:unhideWhenUsed/>
    <w:rsid w:val="008C5D75"/>
    <w:pPr>
      <w:spacing w:after="0" w:line="240" w:lineRule="auto"/>
    </w:pPr>
  </w:style>
  <w:style w:type="character" w:customStyle="1" w:styleId="TextonotaalfinalCar">
    <w:name w:val="Texto nota al final Car"/>
    <w:basedOn w:val="Fuentedeprrafopredeter"/>
    <w:link w:val="Textonotaalfinal"/>
    <w:uiPriority w:val="99"/>
    <w:semiHidden/>
    <w:rsid w:val="008C5D75"/>
  </w:style>
  <w:style w:type="character" w:styleId="Refdenotaalfinal">
    <w:name w:val="endnote reference"/>
    <w:basedOn w:val="Fuentedeprrafopredeter"/>
    <w:uiPriority w:val="99"/>
    <w:semiHidden/>
    <w:unhideWhenUsed/>
    <w:rsid w:val="008C5D75"/>
    <w:rPr>
      <w:vertAlign w:val="superscript"/>
    </w:rPr>
  </w:style>
  <w:style w:type="table" w:styleId="Tablaconcuadrcula">
    <w:name w:val="Table Grid"/>
    <w:basedOn w:val="Tablanormal"/>
    <w:uiPriority w:val="39"/>
    <w:rsid w:val="00696F63"/>
    <w:pPr>
      <w:spacing w:after="0" w:line="240" w:lineRule="auto"/>
    </w:pPr>
    <w:rPr>
      <w:rFonts w:eastAsiaTheme="minorHAnsi"/>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696F63"/>
  </w:style>
  <w:style w:type="table" w:customStyle="1" w:styleId="PlainTable4">
    <w:name w:val="Plain Table 4"/>
    <w:basedOn w:val="Tablanormal"/>
    <w:uiPriority w:val="44"/>
    <w:rsid w:val="00872E8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872E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B91B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B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989"/>
  </w:style>
  <w:style w:type="paragraph" w:styleId="Ttulo1">
    <w:name w:val="heading 1"/>
    <w:basedOn w:val="Normal"/>
    <w:next w:val="Normal"/>
    <w:link w:val="Ttulo1Car"/>
    <w:uiPriority w:val="9"/>
    <w:qFormat/>
    <w:rsid w:val="00CD598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D598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CD598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CD598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D59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D59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D598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CD598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D59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2">
    <w:name w:val="List Number 2"/>
    <w:basedOn w:val="Normal"/>
    <w:autoRedefine/>
    <w:rsid w:val="003D327F"/>
    <w:pPr>
      <w:numPr>
        <w:numId w:val="5"/>
      </w:numPr>
      <w:contextualSpacing/>
    </w:pPr>
    <w:rPr>
      <w:color w:val="5A5A5A"/>
    </w:rPr>
  </w:style>
  <w:style w:type="paragraph" w:styleId="Subttulo">
    <w:name w:val="Subtitle"/>
    <w:basedOn w:val="Normal"/>
    <w:next w:val="Normal"/>
    <w:link w:val="SubttuloCar"/>
    <w:uiPriority w:val="11"/>
    <w:qFormat/>
    <w:rsid w:val="00CD598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D5989"/>
    <w:rPr>
      <w:rFonts w:asciiTheme="majorHAnsi" w:eastAsiaTheme="majorEastAsia" w:hAnsiTheme="majorHAnsi" w:cstheme="majorBidi"/>
      <w:sz w:val="24"/>
      <w:szCs w:val="24"/>
    </w:rPr>
  </w:style>
  <w:style w:type="paragraph" w:styleId="Ttulo">
    <w:name w:val="Title"/>
    <w:basedOn w:val="Normal"/>
    <w:next w:val="Normal"/>
    <w:link w:val="TtuloCar"/>
    <w:uiPriority w:val="10"/>
    <w:qFormat/>
    <w:rsid w:val="00CD598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CD5989"/>
    <w:rPr>
      <w:rFonts w:asciiTheme="majorHAnsi" w:eastAsiaTheme="majorEastAsia" w:hAnsiTheme="majorHAnsi" w:cstheme="majorBidi"/>
      <w:color w:val="4472C4" w:themeColor="accent1"/>
      <w:spacing w:val="-10"/>
      <w:sz w:val="56"/>
      <w:szCs w:val="56"/>
    </w:rPr>
  </w:style>
  <w:style w:type="paragraph" w:customStyle="1" w:styleId="Estilo1">
    <w:name w:val="Estilo1"/>
    <w:basedOn w:val="Ttulo3"/>
    <w:rsid w:val="00AC2568"/>
    <w:rPr>
      <w:b/>
      <w:color w:val="2F5496" w:themeColor="accent1" w:themeShade="BF"/>
      <w:lang w:val="es-ES"/>
    </w:rPr>
  </w:style>
  <w:style w:type="character" w:customStyle="1" w:styleId="Ttulo3Car">
    <w:name w:val="Título 3 Car"/>
    <w:basedOn w:val="Fuentedeprrafopredeter"/>
    <w:link w:val="Ttulo3"/>
    <w:uiPriority w:val="9"/>
    <w:rsid w:val="00CD5989"/>
    <w:rPr>
      <w:rFonts w:asciiTheme="majorHAnsi" w:eastAsiaTheme="majorEastAsia" w:hAnsiTheme="majorHAnsi" w:cstheme="majorBidi"/>
      <w:color w:val="44546A" w:themeColor="text2"/>
      <w:sz w:val="24"/>
      <w:szCs w:val="24"/>
    </w:rPr>
  </w:style>
  <w:style w:type="paragraph" w:styleId="Prrafodelista">
    <w:name w:val="List Paragraph"/>
    <w:basedOn w:val="Normal"/>
    <w:uiPriority w:val="34"/>
    <w:qFormat/>
    <w:rsid w:val="00AD1AE5"/>
    <w:pPr>
      <w:ind w:left="720"/>
      <w:contextualSpacing/>
    </w:pPr>
  </w:style>
  <w:style w:type="paragraph" w:styleId="Encabezado">
    <w:name w:val="header"/>
    <w:basedOn w:val="Normal"/>
    <w:link w:val="EncabezadoCar"/>
    <w:uiPriority w:val="99"/>
    <w:unhideWhenUsed/>
    <w:rsid w:val="003614C2"/>
    <w:pPr>
      <w:tabs>
        <w:tab w:val="center" w:pos="4419"/>
        <w:tab w:val="right" w:pos="8838"/>
      </w:tabs>
    </w:pPr>
  </w:style>
  <w:style w:type="character" w:customStyle="1" w:styleId="EncabezadoCar">
    <w:name w:val="Encabezado Car"/>
    <w:basedOn w:val="Fuentedeprrafopredeter"/>
    <w:link w:val="Encabezado"/>
    <w:uiPriority w:val="99"/>
    <w:rsid w:val="003614C2"/>
    <w:rPr>
      <w:rFonts w:ascii="Gotham Light" w:hAnsi="Gotham Light" w:cs="Times New Roman"/>
      <w:sz w:val="22"/>
      <w:lang w:eastAsia="es-ES_tradnl"/>
    </w:rPr>
  </w:style>
  <w:style w:type="paragraph" w:styleId="Piedepgina">
    <w:name w:val="footer"/>
    <w:basedOn w:val="Normal"/>
    <w:link w:val="PiedepginaCar"/>
    <w:uiPriority w:val="99"/>
    <w:unhideWhenUsed/>
    <w:rsid w:val="003614C2"/>
    <w:pPr>
      <w:tabs>
        <w:tab w:val="center" w:pos="4419"/>
        <w:tab w:val="right" w:pos="8838"/>
      </w:tabs>
    </w:pPr>
  </w:style>
  <w:style w:type="character" w:customStyle="1" w:styleId="PiedepginaCar">
    <w:name w:val="Pie de página Car"/>
    <w:basedOn w:val="Fuentedeprrafopredeter"/>
    <w:link w:val="Piedepgina"/>
    <w:uiPriority w:val="99"/>
    <w:rsid w:val="003614C2"/>
    <w:rPr>
      <w:rFonts w:ascii="Gotham Light" w:hAnsi="Gotham Light" w:cs="Times New Roman"/>
      <w:sz w:val="22"/>
      <w:lang w:eastAsia="es-ES_tradnl"/>
    </w:rPr>
  </w:style>
  <w:style w:type="character" w:customStyle="1" w:styleId="Ttulo1Car">
    <w:name w:val="Título 1 Car"/>
    <w:basedOn w:val="Fuentedeprrafopredeter"/>
    <w:link w:val="Ttulo1"/>
    <w:uiPriority w:val="9"/>
    <w:rsid w:val="00CD598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D5989"/>
    <w:rPr>
      <w:rFonts w:asciiTheme="majorHAnsi" w:eastAsiaTheme="majorEastAsia" w:hAnsiTheme="majorHAnsi" w:cstheme="majorBidi"/>
      <w:color w:val="404040" w:themeColor="text1" w:themeTint="BF"/>
      <w:sz w:val="28"/>
      <w:szCs w:val="28"/>
    </w:rPr>
  </w:style>
  <w:style w:type="character" w:styleId="Hipervnculo">
    <w:name w:val="Hyperlink"/>
    <w:basedOn w:val="Fuentedeprrafopredeter"/>
    <w:uiPriority w:val="99"/>
    <w:unhideWhenUsed/>
    <w:rsid w:val="005F78F2"/>
    <w:rPr>
      <w:color w:val="0563C1" w:themeColor="hyperlink"/>
      <w:u w:val="single"/>
    </w:rPr>
  </w:style>
  <w:style w:type="paragraph" w:styleId="Textonotapie">
    <w:name w:val="footnote text"/>
    <w:basedOn w:val="Normal"/>
    <w:link w:val="TextonotapieCar"/>
    <w:uiPriority w:val="99"/>
    <w:unhideWhenUsed/>
    <w:rsid w:val="005F78F2"/>
    <w:rPr>
      <w:rFonts w:eastAsiaTheme="minorHAnsi"/>
    </w:rPr>
  </w:style>
  <w:style w:type="character" w:customStyle="1" w:styleId="TextonotapieCar">
    <w:name w:val="Texto nota pie Car"/>
    <w:basedOn w:val="Fuentedeprrafopredeter"/>
    <w:link w:val="Textonotapie"/>
    <w:uiPriority w:val="99"/>
    <w:rsid w:val="005F78F2"/>
    <w:rPr>
      <w:rFonts w:eastAsiaTheme="minorHAnsi"/>
      <w:sz w:val="20"/>
      <w:szCs w:val="20"/>
    </w:rPr>
  </w:style>
  <w:style w:type="character" w:styleId="Refdenotaalpie">
    <w:name w:val="footnote reference"/>
    <w:basedOn w:val="Fuentedeprrafopredeter"/>
    <w:uiPriority w:val="99"/>
    <w:semiHidden/>
    <w:unhideWhenUsed/>
    <w:rsid w:val="005F78F2"/>
    <w:rPr>
      <w:vertAlign w:val="superscript"/>
    </w:rPr>
  </w:style>
  <w:style w:type="paragraph" w:styleId="Sinespaciado">
    <w:name w:val="No Spacing"/>
    <w:link w:val="SinespaciadoCar"/>
    <w:uiPriority w:val="1"/>
    <w:qFormat/>
    <w:rsid w:val="00CD5989"/>
    <w:pPr>
      <w:spacing w:after="0" w:line="240" w:lineRule="auto"/>
    </w:pPr>
  </w:style>
  <w:style w:type="character" w:customStyle="1" w:styleId="SinespaciadoCar">
    <w:name w:val="Sin espaciado Car"/>
    <w:basedOn w:val="Fuentedeprrafopredeter"/>
    <w:link w:val="Sinespaciado"/>
    <w:uiPriority w:val="1"/>
    <w:rsid w:val="005F78F2"/>
  </w:style>
  <w:style w:type="character" w:customStyle="1" w:styleId="jsgrdq">
    <w:name w:val="jsgrdq"/>
    <w:basedOn w:val="Fuentedeprrafopredeter"/>
    <w:rsid w:val="005F78F2"/>
  </w:style>
  <w:style w:type="paragraph" w:styleId="TtulodeTDC">
    <w:name w:val="TOC Heading"/>
    <w:basedOn w:val="Ttulo1"/>
    <w:next w:val="Normal"/>
    <w:uiPriority w:val="39"/>
    <w:unhideWhenUsed/>
    <w:qFormat/>
    <w:rsid w:val="00CD5989"/>
    <w:pPr>
      <w:outlineLvl w:val="9"/>
    </w:pPr>
  </w:style>
  <w:style w:type="paragraph" w:styleId="TDC1">
    <w:name w:val="toc 1"/>
    <w:basedOn w:val="Normal"/>
    <w:next w:val="Normal"/>
    <w:autoRedefine/>
    <w:uiPriority w:val="39"/>
    <w:unhideWhenUsed/>
    <w:rsid w:val="006A055F"/>
    <w:pPr>
      <w:tabs>
        <w:tab w:val="right" w:leader="dot" w:pos="8828"/>
      </w:tabs>
      <w:spacing w:after="100" w:line="276" w:lineRule="auto"/>
      <w:jc w:val="both"/>
    </w:pPr>
    <w:rPr>
      <w:rFonts w:eastAsiaTheme="minorHAnsi"/>
      <w:szCs w:val="22"/>
    </w:rPr>
  </w:style>
  <w:style w:type="paragraph" w:styleId="TDC2">
    <w:name w:val="toc 2"/>
    <w:basedOn w:val="Normal"/>
    <w:next w:val="Normal"/>
    <w:autoRedefine/>
    <w:uiPriority w:val="39"/>
    <w:unhideWhenUsed/>
    <w:rsid w:val="006A055F"/>
    <w:pPr>
      <w:tabs>
        <w:tab w:val="right" w:leader="dot" w:pos="8828"/>
      </w:tabs>
      <w:spacing w:after="100" w:line="276" w:lineRule="auto"/>
      <w:ind w:left="220"/>
      <w:jc w:val="both"/>
    </w:pPr>
    <w:rPr>
      <w:rFonts w:eastAsiaTheme="minorHAnsi"/>
      <w:szCs w:val="22"/>
    </w:rPr>
  </w:style>
  <w:style w:type="paragraph" w:styleId="TDC3">
    <w:name w:val="toc 3"/>
    <w:basedOn w:val="Normal"/>
    <w:next w:val="Normal"/>
    <w:autoRedefine/>
    <w:uiPriority w:val="39"/>
    <w:unhideWhenUsed/>
    <w:rsid w:val="005F78F2"/>
    <w:pPr>
      <w:spacing w:after="100" w:line="276" w:lineRule="auto"/>
      <w:ind w:left="440"/>
    </w:pPr>
    <w:rPr>
      <w:rFonts w:eastAsiaTheme="minorHAnsi"/>
      <w:szCs w:val="22"/>
    </w:rPr>
  </w:style>
  <w:style w:type="paragraph" w:customStyle="1" w:styleId="sangria">
    <w:name w:val="sangria"/>
    <w:basedOn w:val="Normal"/>
    <w:uiPriority w:val="99"/>
    <w:semiHidden/>
    <w:rsid w:val="005F78F2"/>
    <w:pPr>
      <w:spacing w:before="100" w:beforeAutospacing="1" w:after="100" w:afterAutospacing="1"/>
    </w:pPr>
    <w:rPr>
      <w:rFonts w:ascii="Times New Roman" w:hAnsi="Times New Roman"/>
      <w:sz w:val="24"/>
      <w:lang w:eastAsia="es-MX"/>
    </w:rPr>
  </w:style>
  <w:style w:type="character" w:customStyle="1" w:styleId="Ttulo4Car">
    <w:name w:val="Título 4 Car"/>
    <w:basedOn w:val="Fuentedeprrafopredeter"/>
    <w:link w:val="Ttulo4"/>
    <w:uiPriority w:val="9"/>
    <w:semiHidden/>
    <w:rsid w:val="00CD598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CD598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D598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D5989"/>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CD598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D5989"/>
    <w:rPr>
      <w:rFonts w:asciiTheme="majorHAnsi" w:eastAsiaTheme="majorEastAsia" w:hAnsiTheme="majorHAnsi" w:cstheme="majorBidi"/>
      <w:b/>
      <w:bCs/>
      <w:i/>
      <w:iCs/>
      <w:color w:val="44546A" w:themeColor="text2"/>
    </w:rPr>
  </w:style>
  <w:style w:type="paragraph" w:styleId="Epgrafe">
    <w:name w:val="caption"/>
    <w:basedOn w:val="Normal"/>
    <w:next w:val="Normal"/>
    <w:uiPriority w:val="35"/>
    <w:semiHidden/>
    <w:unhideWhenUsed/>
    <w:qFormat/>
    <w:rsid w:val="00CD5989"/>
    <w:pPr>
      <w:spacing w:line="240" w:lineRule="auto"/>
    </w:pPr>
    <w:rPr>
      <w:b/>
      <w:bCs/>
      <w:smallCaps/>
      <w:color w:val="595959" w:themeColor="text1" w:themeTint="A6"/>
      <w:spacing w:val="6"/>
    </w:rPr>
  </w:style>
  <w:style w:type="character" w:styleId="Textoennegrita">
    <w:name w:val="Strong"/>
    <w:basedOn w:val="Fuentedeprrafopredeter"/>
    <w:uiPriority w:val="22"/>
    <w:qFormat/>
    <w:rsid w:val="00CD5989"/>
    <w:rPr>
      <w:b/>
      <w:bCs/>
    </w:rPr>
  </w:style>
  <w:style w:type="character" w:styleId="nfasis">
    <w:name w:val="Emphasis"/>
    <w:basedOn w:val="Fuentedeprrafopredeter"/>
    <w:uiPriority w:val="20"/>
    <w:qFormat/>
    <w:rsid w:val="00CD5989"/>
    <w:rPr>
      <w:i/>
      <w:iCs/>
    </w:rPr>
  </w:style>
  <w:style w:type="paragraph" w:styleId="Cita">
    <w:name w:val="Quote"/>
    <w:basedOn w:val="Normal"/>
    <w:next w:val="Normal"/>
    <w:link w:val="CitaCar"/>
    <w:uiPriority w:val="29"/>
    <w:qFormat/>
    <w:rsid w:val="00CD598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D5989"/>
    <w:rPr>
      <w:i/>
      <w:iCs/>
      <w:color w:val="404040" w:themeColor="text1" w:themeTint="BF"/>
    </w:rPr>
  </w:style>
  <w:style w:type="paragraph" w:styleId="Citadestacada">
    <w:name w:val="Intense Quote"/>
    <w:basedOn w:val="Normal"/>
    <w:next w:val="Normal"/>
    <w:link w:val="CitadestacadaCar"/>
    <w:uiPriority w:val="30"/>
    <w:qFormat/>
    <w:rsid w:val="00CD598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CD5989"/>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CD5989"/>
    <w:rPr>
      <w:i/>
      <w:iCs/>
      <w:color w:val="404040" w:themeColor="text1" w:themeTint="BF"/>
    </w:rPr>
  </w:style>
  <w:style w:type="character" w:styleId="nfasisintenso">
    <w:name w:val="Intense Emphasis"/>
    <w:basedOn w:val="Fuentedeprrafopredeter"/>
    <w:uiPriority w:val="21"/>
    <w:qFormat/>
    <w:rsid w:val="00CD5989"/>
    <w:rPr>
      <w:b/>
      <w:bCs/>
      <w:i/>
      <w:iCs/>
    </w:rPr>
  </w:style>
  <w:style w:type="character" w:styleId="Referenciasutil">
    <w:name w:val="Subtle Reference"/>
    <w:basedOn w:val="Fuentedeprrafopredeter"/>
    <w:uiPriority w:val="31"/>
    <w:qFormat/>
    <w:rsid w:val="00CD598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D5989"/>
    <w:rPr>
      <w:b/>
      <w:bCs/>
      <w:smallCaps/>
      <w:spacing w:val="5"/>
      <w:u w:val="single"/>
    </w:rPr>
  </w:style>
  <w:style w:type="character" w:styleId="Ttulodellibro">
    <w:name w:val="Book Title"/>
    <w:basedOn w:val="Fuentedeprrafopredeter"/>
    <w:uiPriority w:val="33"/>
    <w:qFormat/>
    <w:rsid w:val="00CD5989"/>
    <w:rPr>
      <w:b/>
      <w:bCs/>
      <w:smallCaps/>
    </w:rPr>
  </w:style>
  <w:style w:type="paragraph" w:styleId="NormalWeb">
    <w:name w:val="Normal (Web)"/>
    <w:basedOn w:val="Normal"/>
    <w:uiPriority w:val="99"/>
    <w:unhideWhenUsed/>
    <w:rsid w:val="00AE1A8D"/>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notaalfinal">
    <w:name w:val="endnote text"/>
    <w:basedOn w:val="Normal"/>
    <w:link w:val="TextonotaalfinalCar"/>
    <w:uiPriority w:val="99"/>
    <w:semiHidden/>
    <w:unhideWhenUsed/>
    <w:rsid w:val="008C5D75"/>
    <w:pPr>
      <w:spacing w:after="0" w:line="240" w:lineRule="auto"/>
    </w:pPr>
  </w:style>
  <w:style w:type="character" w:customStyle="1" w:styleId="TextonotaalfinalCar">
    <w:name w:val="Texto nota al final Car"/>
    <w:basedOn w:val="Fuentedeprrafopredeter"/>
    <w:link w:val="Textonotaalfinal"/>
    <w:uiPriority w:val="99"/>
    <w:semiHidden/>
    <w:rsid w:val="008C5D75"/>
  </w:style>
  <w:style w:type="character" w:styleId="Refdenotaalfinal">
    <w:name w:val="endnote reference"/>
    <w:basedOn w:val="Fuentedeprrafopredeter"/>
    <w:uiPriority w:val="99"/>
    <w:semiHidden/>
    <w:unhideWhenUsed/>
    <w:rsid w:val="008C5D75"/>
    <w:rPr>
      <w:vertAlign w:val="superscript"/>
    </w:rPr>
  </w:style>
  <w:style w:type="table" w:styleId="Tablaconcuadrcula">
    <w:name w:val="Table Grid"/>
    <w:basedOn w:val="Tablanormal"/>
    <w:uiPriority w:val="39"/>
    <w:rsid w:val="00696F63"/>
    <w:pPr>
      <w:spacing w:after="0" w:line="240" w:lineRule="auto"/>
    </w:pPr>
    <w:rPr>
      <w:rFonts w:eastAsiaTheme="minorHAnsi"/>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696F63"/>
  </w:style>
  <w:style w:type="table" w:customStyle="1" w:styleId="PlainTable4">
    <w:name w:val="Plain Table 4"/>
    <w:basedOn w:val="Tablanormal"/>
    <w:uiPriority w:val="44"/>
    <w:rsid w:val="00872E8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872E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B91B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B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971">
      <w:bodyDiv w:val="1"/>
      <w:marLeft w:val="0"/>
      <w:marRight w:val="0"/>
      <w:marTop w:val="0"/>
      <w:marBottom w:val="0"/>
      <w:divBdr>
        <w:top w:val="none" w:sz="0" w:space="0" w:color="auto"/>
        <w:left w:val="none" w:sz="0" w:space="0" w:color="auto"/>
        <w:bottom w:val="none" w:sz="0" w:space="0" w:color="auto"/>
        <w:right w:val="none" w:sz="0" w:space="0" w:color="auto"/>
      </w:divBdr>
    </w:div>
    <w:div w:id="47412911">
      <w:bodyDiv w:val="1"/>
      <w:marLeft w:val="0"/>
      <w:marRight w:val="0"/>
      <w:marTop w:val="0"/>
      <w:marBottom w:val="0"/>
      <w:divBdr>
        <w:top w:val="none" w:sz="0" w:space="0" w:color="auto"/>
        <w:left w:val="none" w:sz="0" w:space="0" w:color="auto"/>
        <w:bottom w:val="none" w:sz="0" w:space="0" w:color="auto"/>
        <w:right w:val="none" w:sz="0" w:space="0" w:color="auto"/>
      </w:divBdr>
    </w:div>
    <w:div w:id="185296374">
      <w:bodyDiv w:val="1"/>
      <w:marLeft w:val="0"/>
      <w:marRight w:val="0"/>
      <w:marTop w:val="0"/>
      <w:marBottom w:val="0"/>
      <w:divBdr>
        <w:top w:val="none" w:sz="0" w:space="0" w:color="auto"/>
        <w:left w:val="none" w:sz="0" w:space="0" w:color="auto"/>
        <w:bottom w:val="none" w:sz="0" w:space="0" w:color="auto"/>
        <w:right w:val="none" w:sz="0" w:space="0" w:color="auto"/>
      </w:divBdr>
    </w:div>
    <w:div w:id="232351012">
      <w:bodyDiv w:val="1"/>
      <w:marLeft w:val="0"/>
      <w:marRight w:val="0"/>
      <w:marTop w:val="0"/>
      <w:marBottom w:val="0"/>
      <w:divBdr>
        <w:top w:val="none" w:sz="0" w:space="0" w:color="auto"/>
        <w:left w:val="none" w:sz="0" w:space="0" w:color="auto"/>
        <w:bottom w:val="none" w:sz="0" w:space="0" w:color="auto"/>
        <w:right w:val="none" w:sz="0" w:space="0" w:color="auto"/>
      </w:divBdr>
    </w:div>
    <w:div w:id="292567963">
      <w:bodyDiv w:val="1"/>
      <w:marLeft w:val="0"/>
      <w:marRight w:val="0"/>
      <w:marTop w:val="0"/>
      <w:marBottom w:val="0"/>
      <w:divBdr>
        <w:top w:val="none" w:sz="0" w:space="0" w:color="auto"/>
        <w:left w:val="none" w:sz="0" w:space="0" w:color="auto"/>
        <w:bottom w:val="none" w:sz="0" w:space="0" w:color="auto"/>
        <w:right w:val="none" w:sz="0" w:space="0" w:color="auto"/>
      </w:divBdr>
    </w:div>
    <w:div w:id="357588302">
      <w:bodyDiv w:val="1"/>
      <w:marLeft w:val="0"/>
      <w:marRight w:val="0"/>
      <w:marTop w:val="0"/>
      <w:marBottom w:val="0"/>
      <w:divBdr>
        <w:top w:val="none" w:sz="0" w:space="0" w:color="auto"/>
        <w:left w:val="none" w:sz="0" w:space="0" w:color="auto"/>
        <w:bottom w:val="none" w:sz="0" w:space="0" w:color="auto"/>
        <w:right w:val="none" w:sz="0" w:space="0" w:color="auto"/>
      </w:divBdr>
    </w:div>
    <w:div w:id="442189890">
      <w:bodyDiv w:val="1"/>
      <w:marLeft w:val="0"/>
      <w:marRight w:val="0"/>
      <w:marTop w:val="0"/>
      <w:marBottom w:val="0"/>
      <w:divBdr>
        <w:top w:val="none" w:sz="0" w:space="0" w:color="auto"/>
        <w:left w:val="none" w:sz="0" w:space="0" w:color="auto"/>
        <w:bottom w:val="none" w:sz="0" w:space="0" w:color="auto"/>
        <w:right w:val="none" w:sz="0" w:space="0" w:color="auto"/>
      </w:divBdr>
    </w:div>
    <w:div w:id="444273754">
      <w:bodyDiv w:val="1"/>
      <w:marLeft w:val="0"/>
      <w:marRight w:val="0"/>
      <w:marTop w:val="0"/>
      <w:marBottom w:val="0"/>
      <w:divBdr>
        <w:top w:val="none" w:sz="0" w:space="0" w:color="auto"/>
        <w:left w:val="none" w:sz="0" w:space="0" w:color="auto"/>
        <w:bottom w:val="none" w:sz="0" w:space="0" w:color="auto"/>
        <w:right w:val="none" w:sz="0" w:space="0" w:color="auto"/>
      </w:divBdr>
    </w:div>
    <w:div w:id="453910959">
      <w:bodyDiv w:val="1"/>
      <w:marLeft w:val="0"/>
      <w:marRight w:val="0"/>
      <w:marTop w:val="0"/>
      <w:marBottom w:val="0"/>
      <w:divBdr>
        <w:top w:val="none" w:sz="0" w:space="0" w:color="auto"/>
        <w:left w:val="none" w:sz="0" w:space="0" w:color="auto"/>
        <w:bottom w:val="none" w:sz="0" w:space="0" w:color="auto"/>
        <w:right w:val="none" w:sz="0" w:space="0" w:color="auto"/>
      </w:divBdr>
    </w:div>
    <w:div w:id="457917573">
      <w:bodyDiv w:val="1"/>
      <w:marLeft w:val="0"/>
      <w:marRight w:val="0"/>
      <w:marTop w:val="0"/>
      <w:marBottom w:val="0"/>
      <w:divBdr>
        <w:top w:val="none" w:sz="0" w:space="0" w:color="auto"/>
        <w:left w:val="none" w:sz="0" w:space="0" w:color="auto"/>
        <w:bottom w:val="none" w:sz="0" w:space="0" w:color="auto"/>
        <w:right w:val="none" w:sz="0" w:space="0" w:color="auto"/>
      </w:divBdr>
      <w:divsChild>
        <w:div w:id="795636658">
          <w:marLeft w:val="547"/>
          <w:marRight w:val="0"/>
          <w:marTop w:val="0"/>
          <w:marBottom w:val="0"/>
          <w:divBdr>
            <w:top w:val="none" w:sz="0" w:space="0" w:color="auto"/>
            <w:left w:val="none" w:sz="0" w:space="0" w:color="auto"/>
            <w:bottom w:val="none" w:sz="0" w:space="0" w:color="auto"/>
            <w:right w:val="none" w:sz="0" w:space="0" w:color="auto"/>
          </w:divBdr>
        </w:div>
      </w:divsChild>
    </w:div>
    <w:div w:id="574241523">
      <w:bodyDiv w:val="1"/>
      <w:marLeft w:val="0"/>
      <w:marRight w:val="0"/>
      <w:marTop w:val="0"/>
      <w:marBottom w:val="0"/>
      <w:divBdr>
        <w:top w:val="none" w:sz="0" w:space="0" w:color="auto"/>
        <w:left w:val="none" w:sz="0" w:space="0" w:color="auto"/>
        <w:bottom w:val="none" w:sz="0" w:space="0" w:color="auto"/>
        <w:right w:val="none" w:sz="0" w:space="0" w:color="auto"/>
      </w:divBdr>
    </w:div>
    <w:div w:id="592936477">
      <w:bodyDiv w:val="1"/>
      <w:marLeft w:val="0"/>
      <w:marRight w:val="0"/>
      <w:marTop w:val="0"/>
      <w:marBottom w:val="0"/>
      <w:divBdr>
        <w:top w:val="none" w:sz="0" w:space="0" w:color="auto"/>
        <w:left w:val="none" w:sz="0" w:space="0" w:color="auto"/>
        <w:bottom w:val="none" w:sz="0" w:space="0" w:color="auto"/>
        <w:right w:val="none" w:sz="0" w:space="0" w:color="auto"/>
      </w:divBdr>
    </w:div>
    <w:div w:id="665405204">
      <w:bodyDiv w:val="1"/>
      <w:marLeft w:val="0"/>
      <w:marRight w:val="0"/>
      <w:marTop w:val="0"/>
      <w:marBottom w:val="0"/>
      <w:divBdr>
        <w:top w:val="none" w:sz="0" w:space="0" w:color="auto"/>
        <w:left w:val="none" w:sz="0" w:space="0" w:color="auto"/>
        <w:bottom w:val="none" w:sz="0" w:space="0" w:color="auto"/>
        <w:right w:val="none" w:sz="0" w:space="0" w:color="auto"/>
      </w:divBdr>
    </w:div>
    <w:div w:id="718171517">
      <w:bodyDiv w:val="1"/>
      <w:marLeft w:val="0"/>
      <w:marRight w:val="0"/>
      <w:marTop w:val="0"/>
      <w:marBottom w:val="0"/>
      <w:divBdr>
        <w:top w:val="none" w:sz="0" w:space="0" w:color="auto"/>
        <w:left w:val="none" w:sz="0" w:space="0" w:color="auto"/>
        <w:bottom w:val="none" w:sz="0" w:space="0" w:color="auto"/>
        <w:right w:val="none" w:sz="0" w:space="0" w:color="auto"/>
      </w:divBdr>
    </w:div>
    <w:div w:id="779446633">
      <w:bodyDiv w:val="1"/>
      <w:marLeft w:val="0"/>
      <w:marRight w:val="0"/>
      <w:marTop w:val="0"/>
      <w:marBottom w:val="0"/>
      <w:divBdr>
        <w:top w:val="none" w:sz="0" w:space="0" w:color="auto"/>
        <w:left w:val="none" w:sz="0" w:space="0" w:color="auto"/>
        <w:bottom w:val="none" w:sz="0" w:space="0" w:color="auto"/>
        <w:right w:val="none" w:sz="0" w:space="0" w:color="auto"/>
      </w:divBdr>
    </w:div>
    <w:div w:id="886720757">
      <w:bodyDiv w:val="1"/>
      <w:marLeft w:val="0"/>
      <w:marRight w:val="0"/>
      <w:marTop w:val="0"/>
      <w:marBottom w:val="0"/>
      <w:divBdr>
        <w:top w:val="none" w:sz="0" w:space="0" w:color="auto"/>
        <w:left w:val="none" w:sz="0" w:space="0" w:color="auto"/>
        <w:bottom w:val="none" w:sz="0" w:space="0" w:color="auto"/>
        <w:right w:val="none" w:sz="0" w:space="0" w:color="auto"/>
      </w:divBdr>
    </w:div>
    <w:div w:id="1060593016">
      <w:bodyDiv w:val="1"/>
      <w:marLeft w:val="0"/>
      <w:marRight w:val="0"/>
      <w:marTop w:val="0"/>
      <w:marBottom w:val="0"/>
      <w:divBdr>
        <w:top w:val="none" w:sz="0" w:space="0" w:color="auto"/>
        <w:left w:val="none" w:sz="0" w:space="0" w:color="auto"/>
        <w:bottom w:val="none" w:sz="0" w:space="0" w:color="auto"/>
        <w:right w:val="none" w:sz="0" w:space="0" w:color="auto"/>
      </w:divBdr>
    </w:div>
    <w:div w:id="1099837143">
      <w:bodyDiv w:val="1"/>
      <w:marLeft w:val="0"/>
      <w:marRight w:val="0"/>
      <w:marTop w:val="0"/>
      <w:marBottom w:val="0"/>
      <w:divBdr>
        <w:top w:val="none" w:sz="0" w:space="0" w:color="auto"/>
        <w:left w:val="none" w:sz="0" w:space="0" w:color="auto"/>
        <w:bottom w:val="none" w:sz="0" w:space="0" w:color="auto"/>
        <w:right w:val="none" w:sz="0" w:space="0" w:color="auto"/>
      </w:divBdr>
    </w:div>
    <w:div w:id="1127233750">
      <w:bodyDiv w:val="1"/>
      <w:marLeft w:val="0"/>
      <w:marRight w:val="0"/>
      <w:marTop w:val="0"/>
      <w:marBottom w:val="0"/>
      <w:divBdr>
        <w:top w:val="none" w:sz="0" w:space="0" w:color="auto"/>
        <w:left w:val="none" w:sz="0" w:space="0" w:color="auto"/>
        <w:bottom w:val="none" w:sz="0" w:space="0" w:color="auto"/>
        <w:right w:val="none" w:sz="0" w:space="0" w:color="auto"/>
      </w:divBdr>
    </w:div>
    <w:div w:id="1137645846">
      <w:bodyDiv w:val="1"/>
      <w:marLeft w:val="0"/>
      <w:marRight w:val="0"/>
      <w:marTop w:val="0"/>
      <w:marBottom w:val="0"/>
      <w:divBdr>
        <w:top w:val="none" w:sz="0" w:space="0" w:color="auto"/>
        <w:left w:val="none" w:sz="0" w:space="0" w:color="auto"/>
        <w:bottom w:val="none" w:sz="0" w:space="0" w:color="auto"/>
        <w:right w:val="none" w:sz="0" w:space="0" w:color="auto"/>
      </w:divBdr>
    </w:div>
    <w:div w:id="1256286032">
      <w:bodyDiv w:val="1"/>
      <w:marLeft w:val="0"/>
      <w:marRight w:val="0"/>
      <w:marTop w:val="0"/>
      <w:marBottom w:val="0"/>
      <w:divBdr>
        <w:top w:val="none" w:sz="0" w:space="0" w:color="auto"/>
        <w:left w:val="none" w:sz="0" w:space="0" w:color="auto"/>
        <w:bottom w:val="none" w:sz="0" w:space="0" w:color="auto"/>
        <w:right w:val="none" w:sz="0" w:space="0" w:color="auto"/>
      </w:divBdr>
    </w:div>
    <w:div w:id="1272862335">
      <w:bodyDiv w:val="1"/>
      <w:marLeft w:val="0"/>
      <w:marRight w:val="0"/>
      <w:marTop w:val="0"/>
      <w:marBottom w:val="0"/>
      <w:divBdr>
        <w:top w:val="none" w:sz="0" w:space="0" w:color="auto"/>
        <w:left w:val="none" w:sz="0" w:space="0" w:color="auto"/>
        <w:bottom w:val="none" w:sz="0" w:space="0" w:color="auto"/>
        <w:right w:val="none" w:sz="0" w:space="0" w:color="auto"/>
      </w:divBdr>
    </w:div>
    <w:div w:id="1341391053">
      <w:bodyDiv w:val="1"/>
      <w:marLeft w:val="0"/>
      <w:marRight w:val="0"/>
      <w:marTop w:val="0"/>
      <w:marBottom w:val="0"/>
      <w:divBdr>
        <w:top w:val="none" w:sz="0" w:space="0" w:color="auto"/>
        <w:left w:val="none" w:sz="0" w:space="0" w:color="auto"/>
        <w:bottom w:val="none" w:sz="0" w:space="0" w:color="auto"/>
        <w:right w:val="none" w:sz="0" w:space="0" w:color="auto"/>
      </w:divBdr>
    </w:div>
    <w:div w:id="1347555739">
      <w:bodyDiv w:val="1"/>
      <w:marLeft w:val="0"/>
      <w:marRight w:val="0"/>
      <w:marTop w:val="0"/>
      <w:marBottom w:val="0"/>
      <w:divBdr>
        <w:top w:val="none" w:sz="0" w:space="0" w:color="auto"/>
        <w:left w:val="none" w:sz="0" w:space="0" w:color="auto"/>
        <w:bottom w:val="none" w:sz="0" w:space="0" w:color="auto"/>
        <w:right w:val="none" w:sz="0" w:space="0" w:color="auto"/>
      </w:divBdr>
    </w:div>
    <w:div w:id="1529486603">
      <w:bodyDiv w:val="1"/>
      <w:marLeft w:val="0"/>
      <w:marRight w:val="0"/>
      <w:marTop w:val="0"/>
      <w:marBottom w:val="0"/>
      <w:divBdr>
        <w:top w:val="none" w:sz="0" w:space="0" w:color="auto"/>
        <w:left w:val="none" w:sz="0" w:space="0" w:color="auto"/>
        <w:bottom w:val="none" w:sz="0" w:space="0" w:color="auto"/>
        <w:right w:val="none" w:sz="0" w:space="0" w:color="auto"/>
      </w:divBdr>
    </w:div>
    <w:div w:id="1677341720">
      <w:bodyDiv w:val="1"/>
      <w:marLeft w:val="0"/>
      <w:marRight w:val="0"/>
      <w:marTop w:val="0"/>
      <w:marBottom w:val="0"/>
      <w:divBdr>
        <w:top w:val="none" w:sz="0" w:space="0" w:color="auto"/>
        <w:left w:val="none" w:sz="0" w:space="0" w:color="auto"/>
        <w:bottom w:val="none" w:sz="0" w:space="0" w:color="auto"/>
        <w:right w:val="none" w:sz="0" w:space="0" w:color="auto"/>
      </w:divBdr>
    </w:div>
    <w:div w:id="1831558771">
      <w:bodyDiv w:val="1"/>
      <w:marLeft w:val="0"/>
      <w:marRight w:val="0"/>
      <w:marTop w:val="0"/>
      <w:marBottom w:val="0"/>
      <w:divBdr>
        <w:top w:val="none" w:sz="0" w:space="0" w:color="auto"/>
        <w:left w:val="none" w:sz="0" w:space="0" w:color="auto"/>
        <w:bottom w:val="none" w:sz="0" w:space="0" w:color="auto"/>
        <w:right w:val="none" w:sz="0" w:space="0" w:color="auto"/>
      </w:divBdr>
    </w:div>
    <w:div w:id="1940676148">
      <w:bodyDiv w:val="1"/>
      <w:marLeft w:val="0"/>
      <w:marRight w:val="0"/>
      <w:marTop w:val="0"/>
      <w:marBottom w:val="0"/>
      <w:divBdr>
        <w:top w:val="none" w:sz="0" w:space="0" w:color="auto"/>
        <w:left w:val="none" w:sz="0" w:space="0" w:color="auto"/>
        <w:bottom w:val="none" w:sz="0" w:space="0" w:color="auto"/>
        <w:right w:val="none" w:sz="0" w:space="0" w:color="auto"/>
      </w:divBdr>
    </w:div>
    <w:div w:id="2045136141">
      <w:bodyDiv w:val="1"/>
      <w:marLeft w:val="0"/>
      <w:marRight w:val="0"/>
      <w:marTop w:val="0"/>
      <w:marBottom w:val="0"/>
      <w:divBdr>
        <w:top w:val="none" w:sz="0" w:space="0" w:color="auto"/>
        <w:left w:val="none" w:sz="0" w:space="0" w:color="auto"/>
        <w:bottom w:val="none" w:sz="0" w:space="0" w:color="auto"/>
        <w:right w:val="none" w:sz="0" w:space="0" w:color="auto"/>
      </w:divBdr>
    </w:div>
    <w:div w:id="206251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chart" Target="charts/chart4.xml"/><Relationship Id="rId39" Type="http://schemas.openxmlformats.org/officeDocument/2006/relationships/diagramColors" Target="diagrams/colors1.xml"/><Relationship Id="rId21" Type="http://schemas.openxmlformats.org/officeDocument/2006/relationships/image" Target="media/image4.emf"/><Relationship Id="rId34" Type="http://schemas.microsoft.com/office/2014/relationships/chartEx" Target="charts/chartEx1.xml"/><Relationship Id="rId42" Type="http://schemas.openxmlformats.org/officeDocument/2006/relationships/diagramData" Target="diagrams/data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diagramColors" Target="diagrams/colors4.xml"/><Relationship Id="rId63" Type="http://schemas.openxmlformats.org/officeDocument/2006/relationships/diagramQuickStyle" Target="diagrams/quickStyle5.xml"/><Relationship Id="rId68" Type="http://schemas.openxmlformats.org/officeDocument/2006/relationships/diagramLayout" Target="diagrams/layout6.xml"/><Relationship Id="rId76" Type="http://schemas.openxmlformats.org/officeDocument/2006/relationships/diagramLayout" Target="diagrams/layout7.xml"/><Relationship Id="rId84" Type="http://schemas.openxmlformats.org/officeDocument/2006/relationships/fontTable" Target="fontTable.xml"/><Relationship Id="rId7" Type="http://schemas.openxmlformats.org/officeDocument/2006/relationships/footnotes" Target="footnotes.xml"/><Relationship Id="rId71" Type="http://schemas.microsoft.com/office/2007/relationships/diagramDrawing" Target="diagrams/drawing6.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chart" Target="charts/chart3.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diagramColors" Target="diagrams/colors2.xml"/><Relationship Id="rId53" Type="http://schemas.openxmlformats.org/officeDocument/2006/relationships/diagramLayout" Target="diagrams/layout4.xml"/><Relationship Id="rId58" Type="http://schemas.openxmlformats.org/officeDocument/2006/relationships/chart" Target="charts/chart5.xml"/><Relationship Id="rId66" Type="http://schemas.openxmlformats.org/officeDocument/2006/relationships/image" Target="media/image18.jpeg"/><Relationship Id="rId74" Type="http://schemas.openxmlformats.org/officeDocument/2006/relationships/chart" Target="charts/chart6.xml"/><Relationship Id="rId79" Type="http://schemas.microsoft.com/office/2007/relationships/diagramDrawing" Target="diagrams/drawing7.xml"/><Relationship Id="rId5" Type="http://schemas.openxmlformats.org/officeDocument/2006/relationships/settings" Target="settings.xml"/><Relationship Id="rId61" Type="http://schemas.openxmlformats.org/officeDocument/2006/relationships/diagramData" Target="diagrams/data5.xml"/><Relationship Id="rId82"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8.jpeg"/><Relationship Id="rId44" Type="http://schemas.openxmlformats.org/officeDocument/2006/relationships/diagramQuickStyle" Target="diagrams/quickStyle2.xml"/><Relationship Id="rId52" Type="http://schemas.openxmlformats.org/officeDocument/2006/relationships/diagramData" Target="diagrams/data4.xml"/><Relationship Id="rId60" Type="http://schemas.openxmlformats.org/officeDocument/2006/relationships/image" Target="media/image13.jpeg"/><Relationship Id="rId65" Type="http://schemas.microsoft.com/office/2007/relationships/diagramDrawing" Target="diagrams/drawing5.xml"/><Relationship Id="rId73" Type="http://schemas.openxmlformats.org/officeDocument/2006/relationships/image" Target="media/image20.jpeg"/><Relationship Id="rId78" Type="http://schemas.openxmlformats.org/officeDocument/2006/relationships/diagramColors" Target="diagrams/colors7.xml"/><Relationship Id="rId8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hyperlink" Target="https://transparenciafiscal.edomex.gob.mx/sites/transparenciafiscal.edomex.gob.mx/files/files/pdf/rendicion-cuentas/cuenta-publica-2020/TomoI/1-Cumplimiento-Disposiciones-Legales.pdf" TargetMode="External"/><Relationship Id="rId30" Type="http://schemas.openxmlformats.org/officeDocument/2006/relationships/hyperlink" Target="https://transparenciafiscal.edomex.gob.mx/sites/transparenciafiscal.edomex.gob.mx/files/files/pdf/rendicion-cuentas/cuenta-publica-2020/TomoI/1-Cumplimiento-Disposiciones-Legales.pdf" TargetMode="External"/><Relationship Id="rId35" Type="http://schemas.openxmlformats.org/officeDocument/2006/relationships/image" Target="media/image9.png"/><Relationship Id="rId43" Type="http://schemas.openxmlformats.org/officeDocument/2006/relationships/diagramLayout" Target="diagrams/layout2.xml"/><Relationship Id="rId48" Type="http://schemas.openxmlformats.org/officeDocument/2006/relationships/diagramLayout" Target="diagrams/layout3.xml"/><Relationship Id="rId56" Type="http://schemas.microsoft.com/office/2007/relationships/diagramDrawing" Target="diagrams/drawing4.xml"/><Relationship Id="rId64" Type="http://schemas.openxmlformats.org/officeDocument/2006/relationships/diagramColors" Target="diagrams/colors5.xml"/><Relationship Id="rId69" Type="http://schemas.openxmlformats.org/officeDocument/2006/relationships/diagramQuickStyle" Target="diagrams/quickStyle6.xml"/><Relationship Id="rId77" Type="http://schemas.openxmlformats.org/officeDocument/2006/relationships/diagramQuickStyle" Target="diagrams/quickStyle7.xml"/><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image" Target="media/image19.jpeg"/><Relationship Id="rId80" Type="http://schemas.openxmlformats.org/officeDocument/2006/relationships/image" Target="media/image2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yperlink" Target="https://transparenciafiscal.edomex.gob.mx/sites/transparenciafiscal.edomex.gob.mx/files/files/pdf/rendicion-cuentas/cuenta-publica-2020/TomoI/1-Cumplimiento-Disposiciones-Legales.pdf" TargetMode="External"/><Relationship Id="rId38" Type="http://schemas.openxmlformats.org/officeDocument/2006/relationships/diagramQuickStyle" Target="diagrams/quickStyle1.xml"/><Relationship Id="rId46" Type="http://schemas.microsoft.com/office/2007/relationships/diagramDrawing" Target="diagrams/drawing2.xml"/><Relationship Id="rId59" Type="http://schemas.openxmlformats.org/officeDocument/2006/relationships/image" Target="media/image12.jpeg"/><Relationship Id="rId67" Type="http://schemas.openxmlformats.org/officeDocument/2006/relationships/diagramData" Target="diagrams/data6.xml"/><Relationship Id="rId20" Type="http://schemas.openxmlformats.org/officeDocument/2006/relationships/hyperlink" Target="https://transparenciafiscal.edomex.gob.mx/sites/transparenciafiscal.edomex.gob.mx/files/files/pdf/rendicion-cuentas/cuenta-publica-2020/TomoI/1-Cumplimiento-Disposiciones-Legales.pdf" TargetMode="External"/><Relationship Id="rId41" Type="http://schemas.openxmlformats.org/officeDocument/2006/relationships/image" Target="media/image10.jpeg"/><Relationship Id="rId54" Type="http://schemas.openxmlformats.org/officeDocument/2006/relationships/diagramQuickStyle" Target="diagrams/quickStyle4.xml"/><Relationship Id="rId62" Type="http://schemas.openxmlformats.org/officeDocument/2006/relationships/diagramLayout" Target="diagrams/layout5.xml"/><Relationship Id="rId70" Type="http://schemas.openxmlformats.org/officeDocument/2006/relationships/diagramColors" Target="diagrams/colors6.xml"/><Relationship Id="rId75" Type="http://schemas.openxmlformats.org/officeDocument/2006/relationships/diagramData" Target="diagrams/data7.xm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transparenciafiscal.edomex.gob.mx/sites/transparenciafiscal.edomex.gob.mx/files/files/pdf/rendicion-cuentas/cuenta-publica-2020/TomoI/1-Cumplimiento-Disposiciones-Legales.pdf" TargetMode="External"/><Relationship Id="rId28" Type="http://schemas.openxmlformats.org/officeDocument/2006/relationships/image" Target="media/image6.jpeg"/><Relationship Id="rId36" Type="http://schemas.openxmlformats.org/officeDocument/2006/relationships/diagramData" Target="diagrams/data1.xml"/><Relationship Id="rId49" Type="http://schemas.openxmlformats.org/officeDocument/2006/relationships/diagramQuickStyle" Target="diagrams/quickStyle3.xml"/><Relationship Id="rId57"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Z400\Downloads\cuuenta%20publica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400\Downloads\cuuenta%20publica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400\Downloads\cuuenta%20publica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400\Downloads\cuuenta%20publica20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Microsoft_Excel_Worksheet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Ingresos</a:t>
            </a:r>
            <a:r>
              <a:rPr lang="en-US" baseline="0"/>
              <a:t> Recaudados en 2020</a:t>
            </a:r>
            <a:endParaRPr lang="en-US"/>
          </a:p>
        </c:rich>
      </c:tx>
      <c:layout>
        <c:manualLayout>
          <c:xMode val="edge"/>
          <c:yMode val="edge"/>
          <c:x val="0.26700221295867427"/>
          <c:y val="5.2428391535511891E-3"/>
        </c:manualLayout>
      </c:layout>
      <c:overlay val="0"/>
    </c:title>
    <c:autoTitleDeleted val="0"/>
    <c:plotArea>
      <c:layout/>
      <c:pieChart>
        <c:varyColors val="1"/>
        <c:ser>
          <c:idx val="5"/>
          <c:order val="5"/>
          <c:dPt>
            <c:idx val="0"/>
            <c:bubble3D val="0"/>
            <c:spPr>
              <a:solidFill>
                <a:srgbClr val="F11FD3"/>
              </a:solidFill>
            </c:spPr>
          </c:dPt>
          <c:dPt>
            <c:idx val="1"/>
            <c:bubble3D val="0"/>
            <c:spPr>
              <a:gradFill flip="none" rotWithShape="1">
                <a:gsLst>
                  <a:gs pos="0">
                    <a:srgbClr val="F11FD3">
                      <a:tint val="66000"/>
                      <a:satMod val="160000"/>
                    </a:srgbClr>
                  </a:gs>
                  <a:gs pos="50000">
                    <a:srgbClr val="F11FD3">
                      <a:tint val="44500"/>
                      <a:satMod val="160000"/>
                    </a:srgbClr>
                  </a:gs>
                  <a:gs pos="100000">
                    <a:srgbClr val="F11FD3">
                      <a:tint val="23500"/>
                      <a:satMod val="160000"/>
                    </a:srgbClr>
                  </a:gs>
                </a:gsLst>
                <a:path path="circle">
                  <a:fillToRect l="100000" b="100000"/>
                </a:path>
                <a:tileRect t="-100000" r="-100000"/>
              </a:gradFill>
            </c:spPr>
          </c:dPt>
          <c:dPt>
            <c:idx val="2"/>
            <c:bubble3D val="0"/>
            <c:spPr>
              <a:solidFill>
                <a:srgbClr val="22BADE"/>
              </a:solidFill>
            </c:spPr>
          </c:dPt>
          <c:dLbls>
            <c:showLegendKey val="0"/>
            <c:showVal val="0"/>
            <c:showCatName val="1"/>
            <c:showSerName val="0"/>
            <c:showPercent val="1"/>
            <c:showBubbleSize val="0"/>
            <c:showLeaderLines val="1"/>
          </c:dLbls>
          <c:cat>
            <c:strRef>
              <c:f>'[cuuenta publica2020.xlsx]Hoja1'!$D$74:$D$94</c:f>
              <c:strCache>
                <c:ptCount val="4"/>
                <c:pt idx="0">
                  <c:v>Tributarios</c:v>
                </c:pt>
                <c:pt idx="1">
                  <c:v>No Tributarios</c:v>
                </c:pt>
                <c:pt idx="2">
                  <c:v>Federales</c:v>
                </c:pt>
                <c:pt idx="3">
                  <c:v>Extraordinarios</c:v>
                </c:pt>
              </c:strCache>
            </c:strRef>
          </c:cat>
          <c:val>
            <c:numRef>
              <c:f>'[cuuenta publica2020.xlsx]Hoja1'!$J$74:$J$94</c:f>
              <c:numCache>
                <c:formatCode>General</c:formatCode>
                <c:ptCount val="4"/>
                <c:pt idx="0" formatCode="#,##0.00">
                  <c:v>20850709</c:v>
                </c:pt>
                <c:pt idx="2" formatCode="#,##0.00">
                  <c:v>218660767</c:v>
                </c:pt>
                <c:pt idx="3" formatCode="#,##0.00">
                  <c:v>21203997</c:v>
                </c:pt>
              </c:numCache>
            </c:numRef>
          </c:val>
        </c:ser>
        <c:ser>
          <c:idx val="4"/>
          <c:order val="4"/>
          <c:dLbls>
            <c:showLegendKey val="0"/>
            <c:showVal val="0"/>
            <c:showCatName val="1"/>
            <c:showSerName val="0"/>
            <c:showPercent val="1"/>
            <c:showBubbleSize val="0"/>
            <c:showLeaderLines val="1"/>
          </c:dLbls>
          <c:cat>
            <c:strRef>
              <c:f>'[cuuenta publica2020.xlsx]Hoja1'!$D$74:$D$94</c:f>
              <c:strCache>
                <c:ptCount val="4"/>
                <c:pt idx="0">
                  <c:v>Tributarios</c:v>
                </c:pt>
                <c:pt idx="1">
                  <c:v>No Tributarios</c:v>
                </c:pt>
                <c:pt idx="2">
                  <c:v>Federales</c:v>
                </c:pt>
                <c:pt idx="3">
                  <c:v>Extraordinarios</c:v>
                </c:pt>
              </c:strCache>
            </c:strRef>
          </c:cat>
          <c:val>
            <c:numRef>
              <c:f>'[cuuenta publica2020.xlsx]Hoja1'!$I$69:$I$94</c:f>
            </c:numRef>
          </c:val>
        </c:ser>
        <c:ser>
          <c:idx val="3"/>
          <c:order val="3"/>
          <c:dLbls>
            <c:showLegendKey val="0"/>
            <c:showVal val="0"/>
            <c:showCatName val="1"/>
            <c:showSerName val="0"/>
            <c:showPercent val="1"/>
            <c:showBubbleSize val="0"/>
            <c:showLeaderLines val="1"/>
          </c:dLbls>
          <c:cat>
            <c:strRef>
              <c:f>'[cuuenta publica2020.xlsx]Hoja1'!$D$74:$D$94</c:f>
              <c:strCache>
                <c:ptCount val="4"/>
                <c:pt idx="0">
                  <c:v>Tributarios</c:v>
                </c:pt>
                <c:pt idx="1">
                  <c:v>No Tributarios</c:v>
                </c:pt>
                <c:pt idx="2">
                  <c:v>Federales</c:v>
                </c:pt>
                <c:pt idx="3">
                  <c:v>Extraordinarios</c:v>
                </c:pt>
              </c:strCache>
            </c:strRef>
          </c:cat>
          <c:val>
            <c:numRef>
              <c:f>'[cuuenta publica2020.xlsx]Hoja1'!$H$69:$H$94</c:f>
            </c:numRef>
          </c:val>
        </c:ser>
        <c:ser>
          <c:idx val="2"/>
          <c:order val="2"/>
          <c:dLbls>
            <c:showLegendKey val="0"/>
            <c:showVal val="0"/>
            <c:showCatName val="1"/>
            <c:showSerName val="0"/>
            <c:showPercent val="1"/>
            <c:showBubbleSize val="0"/>
            <c:showLeaderLines val="1"/>
          </c:dLbls>
          <c:cat>
            <c:strRef>
              <c:f>'[cuuenta publica2020.xlsx]Hoja1'!$D$74:$D$94</c:f>
              <c:strCache>
                <c:ptCount val="4"/>
                <c:pt idx="0">
                  <c:v>Tributarios</c:v>
                </c:pt>
                <c:pt idx="1">
                  <c:v>No Tributarios</c:v>
                </c:pt>
                <c:pt idx="2">
                  <c:v>Federales</c:v>
                </c:pt>
                <c:pt idx="3">
                  <c:v>Extraordinarios</c:v>
                </c:pt>
              </c:strCache>
            </c:strRef>
          </c:cat>
          <c:val>
            <c:numRef>
              <c:f>'[cuuenta publica2020.xlsx]Hoja1'!$G$69:$G$94</c:f>
            </c:numRef>
          </c:val>
        </c:ser>
        <c:ser>
          <c:idx val="1"/>
          <c:order val="1"/>
          <c:dLbls>
            <c:showLegendKey val="0"/>
            <c:showVal val="0"/>
            <c:showCatName val="1"/>
            <c:showSerName val="0"/>
            <c:showPercent val="1"/>
            <c:showBubbleSize val="0"/>
            <c:showLeaderLines val="1"/>
          </c:dLbls>
          <c:cat>
            <c:strRef>
              <c:f>'[cuuenta publica2020.xlsx]Hoja1'!$D$74:$D$94</c:f>
              <c:strCache>
                <c:ptCount val="4"/>
                <c:pt idx="0">
                  <c:v>Tributarios</c:v>
                </c:pt>
                <c:pt idx="1">
                  <c:v>No Tributarios</c:v>
                </c:pt>
                <c:pt idx="2">
                  <c:v>Federales</c:v>
                </c:pt>
                <c:pt idx="3">
                  <c:v>Extraordinarios</c:v>
                </c:pt>
              </c:strCache>
            </c:strRef>
          </c:cat>
          <c:val>
            <c:numRef>
              <c:f>'[cuuenta publica2020.xlsx]Hoja1'!$F$69:$F$94</c:f>
            </c:numRef>
          </c:val>
        </c:ser>
        <c:ser>
          <c:idx val="0"/>
          <c:order val="0"/>
          <c:dLbls>
            <c:showLegendKey val="0"/>
            <c:showVal val="0"/>
            <c:showCatName val="1"/>
            <c:showSerName val="0"/>
            <c:showPercent val="1"/>
            <c:showBubbleSize val="0"/>
            <c:showLeaderLines val="1"/>
          </c:dLbls>
          <c:cat>
            <c:strRef>
              <c:f>'[cuuenta publica2020.xlsx]Hoja1'!$D$74:$D$94</c:f>
              <c:strCache>
                <c:ptCount val="4"/>
                <c:pt idx="0">
                  <c:v>Tributarios</c:v>
                </c:pt>
                <c:pt idx="1">
                  <c:v>No Tributarios</c:v>
                </c:pt>
                <c:pt idx="2">
                  <c:v>Federales</c:v>
                </c:pt>
                <c:pt idx="3">
                  <c:v>Extraordinarios</c:v>
                </c:pt>
              </c:strCache>
            </c:strRef>
          </c:cat>
          <c:val>
            <c:numRef>
              <c:f>'[cuuenta publica2020.xlsx]Hoja1'!$E$69:$E$94</c:f>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Ingresos</a:t>
            </a:r>
            <a:r>
              <a:rPr lang="en-US" baseline="0"/>
              <a:t> Recaudados en 2020</a:t>
            </a:r>
            <a:endParaRPr lang="en-US"/>
          </a:p>
        </c:rich>
      </c:tx>
      <c:layout>
        <c:manualLayout>
          <c:xMode val="edge"/>
          <c:yMode val="edge"/>
          <c:x val="0.26700221295867427"/>
          <c:y val="5.2428391535511891E-3"/>
        </c:manualLayout>
      </c:layout>
      <c:overlay val="0"/>
    </c:title>
    <c:autoTitleDeleted val="0"/>
    <c:plotArea>
      <c:layout/>
      <c:pieChart>
        <c:varyColors val="1"/>
        <c:ser>
          <c:idx val="5"/>
          <c:order val="5"/>
          <c:spPr>
            <a:solidFill>
              <a:srgbClr val="22BADE"/>
            </a:solidFill>
          </c:spPr>
          <c:dPt>
            <c:idx val="0"/>
            <c:bubble3D val="0"/>
            <c:spPr>
              <a:solidFill>
                <a:srgbClr val="F11FD3"/>
              </a:solidFill>
            </c:spPr>
          </c:dPt>
          <c:dPt>
            <c:idx val="1"/>
            <c:bubble3D val="0"/>
          </c:dPt>
          <c:dPt>
            <c:idx val="4"/>
            <c:bubble3D val="0"/>
            <c:spPr>
              <a:solidFill>
                <a:srgbClr val="6600FF"/>
              </a:solidFill>
            </c:spPr>
          </c:dPt>
          <c:dLbls>
            <c:dLbl>
              <c:idx val="0"/>
              <c:layout>
                <c:manualLayout>
                  <c:x val="6.2204550899079614E-2"/>
                  <c:y val="6.708661417322835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'[cuuenta publica2020.xlsx]Hoja1'!$D$74:$D$94</c:f>
              <c:strCache>
                <c:ptCount val="5"/>
                <c:pt idx="0">
                  <c:v>Tributarios</c:v>
                </c:pt>
                <c:pt idx="1">
                  <c:v>No Tributarios</c:v>
                </c:pt>
                <c:pt idx="3">
                  <c:v>Federales</c:v>
                </c:pt>
                <c:pt idx="4">
                  <c:v>Extraordinarios</c:v>
                </c:pt>
              </c:strCache>
            </c:strRef>
          </c:cat>
          <c:val>
            <c:numRef>
              <c:f>'[cuuenta publica2020.xlsx]Hoja1'!$J$74:$J$94</c:f>
              <c:numCache>
                <c:formatCode>General</c:formatCode>
                <c:ptCount val="5"/>
                <c:pt idx="0" formatCode="#,##0.00">
                  <c:v>20850709</c:v>
                </c:pt>
                <c:pt idx="3" formatCode="#,##0.00">
                  <c:v>218660767</c:v>
                </c:pt>
                <c:pt idx="4" formatCode="#,##0.00">
                  <c:v>21203997</c:v>
                </c:pt>
              </c:numCache>
            </c:numRef>
          </c:val>
        </c:ser>
        <c:ser>
          <c:idx val="4"/>
          <c:order val="4"/>
          <c:dLbls>
            <c:showLegendKey val="0"/>
            <c:showVal val="0"/>
            <c:showCatName val="1"/>
            <c:showSerName val="0"/>
            <c:showPercent val="1"/>
            <c:showBubbleSize val="0"/>
            <c:showLeaderLines val="1"/>
          </c:dLbls>
          <c:cat>
            <c:strRef>
              <c:f>'[cuuenta publica2020.xlsx]Hoja1'!$D$74:$D$94</c:f>
              <c:strCache>
                <c:ptCount val="5"/>
                <c:pt idx="0">
                  <c:v>Tributarios</c:v>
                </c:pt>
                <c:pt idx="1">
                  <c:v>No Tributarios</c:v>
                </c:pt>
                <c:pt idx="3">
                  <c:v>Federales</c:v>
                </c:pt>
                <c:pt idx="4">
                  <c:v>Extraordinarios</c:v>
                </c:pt>
              </c:strCache>
            </c:strRef>
          </c:cat>
          <c:val>
            <c:numRef>
              <c:f>'[cuuenta publica2020.xlsx]Hoja1'!$I$69:$I$94</c:f>
            </c:numRef>
          </c:val>
        </c:ser>
        <c:ser>
          <c:idx val="3"/>
          <c:order val="3"/>
          <c:dLbls>
            <c:showLegendKey val="0"/>
            <c:showVal val="0"/>
            <c:showCatName val="1"/>
            <c:showSerName val="0"/>
            <c:showPercent val="1"/>
            <c:showBubbleSize val="0"/>
            <c:showLeaderLines val="1"/>
          </c:dLbls>
          <c:cat>
            <c:strRef>
              <c:f>'[cuuenta publica2020.xlsx]Hoja1'!$D$74:$D$94</c:f>
              <c:strCache>
                <c:ptCount val="5"/>
                <c:pt idx="0">
                  <c:v>Tributarios</c:v>
                </c:pt>
                <c:pt idx="1">
                  <c:v>No Tributarios</c:v>
                </c:pt>
                <c:pt idx="3">
                  <c:v>Federales</c:v>
                </c:pt>
                <c:pt idx="4">
                  <c:v>Extraordinarios</c:v>
                </c:pt>
              </c:strCache>
            </c:strRef>
          </c:cat>
          <c:val>
            <c:numRef>
              <c:f>'[cuuenta publica2020.xlsx]Hoja1'!$H$69:$H$94</c:f>
            </c:numRef>
          </c:val>
        </c:ser>
        <c:ser>
          <c:idx val="2"/>
          <c:order val="2"/>
          <c:dLbls>
            <c:showLegendKey val="0"/>
            <c:showVal val="0"/>
            <c:showCatName val="1"/>
            <c:showSerName val="0"/>
            <c:showPercent val="1"/>
            <c:showBubbleSize val="0"/>
            <c:showLeaderLines val="1"/>
          </c:dLbls>
          <c:cat>
            <c:strRef>
              <c:f>'[cuuenta publica2020.xlsx]Hoja1'!$D$74:$D$94</c:f>
              <c:strCache>
                <c:ptCount val="5"/>
                <c:pt idx="0">
                  <c:v>Tributarios</c:v>
                </c:pt>
                <c:pt idx="1">
                  <c:v>No Tributarios</c:v>
                </c:pt>
                <c:pt idx="3">
                  <c:v>Federales</c:v>
                </c:pt>
                <c:pt idx="4">
                  <c:v>Extraordinarios</c:v>
                </c:pt>
              </c:strCache>
            </c:strRef>
          </c:cat>
          <c:val>
            <c:numRef>
              <c:f>'[cuuenta publica2020.xlsx]Hoja1'!$G$69:$G$94</c:f>
            </c:numRef>
          </c:val>
        </c:ser>
        <c:ser>
          <c:idx val="1"/>
          <c:order val="1"/>
          <c:dLbls>
            <c:showLegendKey val="0"/>
            <c:showVal val="0"/>
            <c:showCatName val="1"/>
            <c:showSerName val="0"/>
            <c:showPercent val="1"/>
            <c:showBubbleSize val="0"/>
            <c:showLeaderLines val="1"/>
          </c:dLbls>
          <c:cat>
            <c:strRef>
              <c:f>'[cuuenta publica2020.xlsx]Hoja1'!$D$74:$D$94</c:f>
              <c:strCache>
                <c:ptCount val="5"/>
                <c:pt idx="0">
                  <c:v>Tributarios</c:v>
                </c:pt>
                <c:pt idx="1">
                  <c:v>No Tributarios</c:v>
                </c:pt>
                <c:pt idx="3">
                  <c:v>Federales</c:v>
                </c:pt>
                <c:pt idx="4">
                  <c:v>Extraordinarios</c:v>
                </c:pt>
              </c:strCache>
            </c:strRef>
          </c:cat>
          <c:val>
            <c:numRef>
              <c:f>'[cuuenta publica2020.xlsx]Hoja1'!$F$69:$F$94</c:f>
            </c:numRef>
          </c:val>
        </c:ser>
        <c:ser>
          <c:idx val="0"/>
          <c:order val="0"/>
          <c:dLbls>
            <c:showLegendKey val="0"/>
            <c:showVal val="0"/>
            <c:showCatName val="1"/>
            <c:showSerName val="0"/>
            <c:showPercent val="1"/>
            <c:showBubbleSize val="0"/>
            <c:showLeaderLines val="1"/>
          </c:dLbls>
          <c:cat>
            <c:strRef>
              <c:f>'[cuuenta publica2020.xlsx]Hoja1'!$D$74:$D$94</c:f>
              <c:strCache>
                <c:ptCount val="5"/>
                <c:pt idx="0">
                  <c:v>Tributarios</c:v>
                </c:pt>
                <c:pt idx="1">
                  <c:v>No Tributarios</c:v>
                </c:pt>
                <c:pt idx="3">
                  <c:v>Federales</c:v>
                </c:pt>
                <c:pt idx="4">
                  <c:v>Extraordinarios</c:v>
                </c:pt>
              </c:strCache>
            </c:strRef>
          </c:cat>
          <c:val>
            <c:numRef>
              <c:f>'[cuuenta publica2020.xlsx]Hoja1'!$E$69:$E$94</c:f>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 Programable:</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'[cuuenta publica2020.xlsx]Hoja1'!$D$105:$D$116</c:f>
              <c:strCache>
                <c:ptCount val="12"/>
                <c:pt idx="0">
                  <c:v>Gasto Corriente</c:v>
                </c:pt>
                <c:pt idx="1">
                  <c:v>Servicios Personales</c:v>
                </c:pt>
                <c:pt idx="2">
                  <c:v>Gasto Operativo</c:v>
                </c:pt>
                <c:pt idx="3">
                  <c:v>- Materiales y Suministros</c:v>
                </c:pt>
                <c:pt idx="4">
                  <c:v>Servicios Generales</c:v>
                </c:pt>
                <c:pt idx="5">
                  <c:v>Transferencias</c:v>
                </c:pt>
                <c:pt idx="6">
                  <c:v>- Organismos Autonomos</c:v>
                </c:pt>
                <c:pt idx="7">
                  <c:v>Subsidios y Apoyo</c:v>
                </c:pt>
                <c:pt idx="8">
                  <c:v>Inversión Pública</c:v>
                </c:pt>
                <c:pt idx="9">
                  <c:v>Bienes Muebles e Inmuebles</c:v>
                </c:pt>
                <c:pt idx="10">
                  <c:v>- Obra Pública</c:v>
                </c:pt>
                <c:pt idx="11">
                  <c:v>Inversión Financiera</c:v>
                </c:pt>
              </c:strCache>
            </c:strRef>
          </c:cat>
          <c:val>
            <c:numRef>
              <c:f>'[cuuenta publica2020.xlsx]Hoja1'!$E$105:$E$116</c:f>
            </c:numRef>
          </c:val>
          <c:shape val="box"/>
        </c:ser>
        <c:ser>
          <c:idx val="1"/>
          <c:order val="1"/>
          <c:invertIfNegative val="0"/>
          <c:cat>
            <c:strRef>
              <c:f>'[cuuenta publica2020.xlsx]Hoja1'!$D$105:$D$116</c:f>
              <c:strCache>
                <c:ptCount val="12"/>
                <c:pt idx="0">
                  <c:v>Gasto Corriente</c:v>
                </c:pt>
                <c:pt idx="1">
                  <c:v>Servicios Personales</c:v>
                </c:pt>
                <c:pt idx="2">
                  <c:v>Gasto Operativo</c:v>
                </c:pt>
                <c:pt idx="3">
                  <c:v>- Materiales y Suministros</c:v>
                </c:pt>
                <c:pt idx="4">
                  <c:v>Servicios Generales</c:v>
                </c:pt>
                <c:pt idx="5">
                  <c:v>Transferencias</c:v>
                </c:pt>
                <c:pt idx="6">
                  <c:v>- Organismos Autonomos</c:v>
                </c:pt>
                <c:pt idx="7">
                  <c:v>Subsidios y Apoyo</c:v>
                </c:pt>
                <c:pt idx="8">
                  <c:v>Inversión Pública</c:v>
                </c:pt>
                <c:pt idx="9">
                  <c:v>Bienes Muebles e Inmuebles</c:v>
                </c:pt>
                <c:pt idx="10">
                  <c:v>- Obra Pública</c:v>
                </c:pt>
                <c:pt idx="11">
                  <c:v>Inversión Financiera</c:v>
                </c:pt>
              </c:strCache>
            </c:strRef>
          </c:cat>
          <c:val>
            <c:numRef>
              <c:f>'[cuuenta publica2020.xlsx]Hoja1'!$F$105:$F$116</c:f>
            </c:numRef>
          </c:val>
          <c:shape val="box"/>
        </c:ser>
        <c:ser>
          <c:idx val="2"/>
          <c:order val="2"/>
          <c:invertIfNegative val="0"/>
          <c:cat>
            <c:strRef>
              <c:f>'[cuuenta publica2020.xlsx]Hoja1'!$D$105:$D$116</c:f>
              <c:strCache>
                <c:ptCount val="12"/>
                <c:pt idx="0">
                  <c:v>Gasto Corriente</c:v>
                </c:pt>
                <c:pt idx="1">
                  <c:v>Servicios Personales</c:v>
                </c:pt>
                <c:pt idx="2">
                  <c:v>Gasto Operativo</c:v>
                </c:pt>
                <c:pt idx="3">
                  <c:v>- Materiales y Suministros</c:v>
                </c:pt>
                <c:pt idx="4">
                  <c:v>Servicios Generales</c:v>
                </c:pt>
                <c:pt idx="5">
                  <c:v>Transferencias</c:v>
                </c:pt>
                <c:pt idx="6">
                  <c:v>- Organismos Autonomos</c:v>
                </c:pt>
                <c:pt idx="7">
                  <c:v>Subsidios y Apoyo</c:v>
                </c:pt>
                <c:pt idx="8">
                  <c:v>Inversión Pública</c:v>
                </c:pt>
                <c:pt idx="9">
                  <c:v>Bienes Muebles e Inmuebles</c:v>
                </c:pt>
                <c:pt idx="10">
                  <c:v>- Obra Pública</c:v>
                </c:pt>
                <c:pt idx="11">
                  <c:v>Inversión Financiera</c:v>
                </c:pt>
              </c:strCache>
            </c:strRef>
          </c:cat>
          <c:val>
            <c:numRef>
              <c:f>'[cuuenta publica2020.xlsx]Hoja1'!$G$105:$G$116</c:f>
            </c:numRef>
          </c:val>
          <c:shape val="box"/>
        </c:ser>
        <c:ser>
          <c:idx val="3"/>
          <c:order val="3"/>
          <c:invertIfNegative val="0"/>
          <c:cat>
            <c:strRef>
              <c:f>'[cuuenta publica2020.xlsx]Hoja1'!$D$105:$D$116</c:f>
              <c:strCache>
                <c:ptCount val="12"/>
                <c:pt idx="0">
                  <c:v>Gasto Corriente</c:v>
                </c:pt>
                <c:pt idx="1">
                  <c:v>Servicios Personales</c:v>
                </c:pt>
                <c:pt idx="2">
                  <c:v>Gasto Operativo</c:v>
                </c:pt>
                <c:pt idx="3">
                  <c:v>- Materiales y Suministros</c:v>
                </c:pt>
                <c:pt idx="4">
                  <c:v>Servicios Generales</c:v>
                </c:pt>
                <c:pt idx="5">
                  <c:v>Transferencias</c:v>
                </c:pt>
                <c:pt idx="6">
                  <c:v>- Organismos Autonomos</c:v>
                </c:pt>
                <c:pt idx="7">
                  <c:v>Subsidios y Apoyo</c:v>
                </c:pt>
                <c:pt idx="8">
                  <c:v>Inversión Pública</c:v>
                </c:pt>
                <c:pt idx="9">
                  <c:v>Bienes Muebles e Inmuebles</c:v>
                </c:pt>
                <c:pt idx="10">
                  <c:v>- Obra Pública</c:v>
                </c:pt>
                <c:pt idx="11">
                  <c:v>Inversión Financiera</c:v>
                </c:pt>
              </c:strCache>
            </c:strRef>
          </c:cat>
          <c:val>
            <c:numRef>
              <c:f>'[cuuenta publica2020.xlsx]Hoja1'!$H$105:$H$116</c:f>
            </c:numRef>
          </c:val>
          <c:shape val="box"/>
        </c:ser>
        <c:ser>
          <c:idx val="4"/>
          <c:order val="4"/>
          <c:invertIfNegative val="0"/>
          <c:cat>
            <c:strRef>
              <c:f>'[cuuenta publica2020.xlsx]Hoja1'!$D$105:$D$116</c:f>
              <c:strCache>
                <c:ptCount val="12"/>
                <c:pt idx="0">
                  <c:v>Gasto Corriente</c:v>
                </c:pt>
                <c:pt idx="1">
                  <c:v>Servicios Personales</c:v>
                </c:pt>
                <c:pt idx="2">
                  <c:v>Gasto Operativo</c:v>
                </c:pt>
                <c:pt idx="3">
                  <c:v>- Materiales y Suministros</c:v>
                </c:pt>
                <c:pt idx="4">
                  <c:v>Servicios Generales</c:v>
                </c:pt>
                <c:pt idx="5">
                  <c:v>Transferencias</c:v>
                </c:pt>
                <c:pt idx="6">
                  <c:v>- Organismos Autonomos</c:v>
                </c:pt>
                <c:pt idx="7">
                  <c:v>Subsidios y Apoyo</c:v>
                </c:pt>
                <c:pt idx="8">
                  <c:v>Inversión Pública</c:v>
                </c:pt>
                <c:pt idx="9">
                  <c:v>Bienes Muebles e Inmuebles</c:v>
                </c:pt>
                <c:pt idx="10">
                  <c:v>- Obra Pública</c:v>
                </c:pt>
                <c:pt idx="11">
                  <c:v>Inversión Financiera</c:v>
                </c:pt>
              </c:strCache>
            </c:strRef>
          </c:cat>
          <c:val>
            <c:numRef>
              <c:f>'[cuuenta publica2020.xlsx]Hoja1'!$I$105:$I$116</c:f>
            </c:numRef>
          </c:val>
          <c:shape val="box"/>
        </c:ser>
        <c:ser>
          <c:idx val="5"/>
          <c:order val="5"/>
          <c:invertIfNegative val="0"/>
          <c:cat>
            <c:strRef>
              <c:f>'[cuuenta publica2020.xlsx]Hoja1'!$D$105:$D$116</c:f>
              <c:strCache>
                <c:ptCount val="12"/>
                <c:pt idx="0">
                  <c:v>Gasto Corriente</c:v>
                </c:pt>
                <c:pt idx="1">
                  <c:v>Servicios Personales</c:v>
                </c:pt>
                <c:pt idx="2">
                  <c:v>Gasto Operativo</c:v>
                </c:pt>
                <c:pt idx="3">
                  <c:v>- Materiales y Suministros</c:v>
                </c:pt>
                <c:pt idx="4">
                  <c:v>Servicios Generales</c:v>
                </c:pt>
                <c:pt idx="5">
                  <c:v>Transferencias</c:v>
                </c:pt>
                <c:pt idx="6">
                  <c:v>- Organismos Autonomos</c:v>
                </c:pt>
                <c:pt idx="7">
                  <c:v>Subsidios y Apoyo</c:v>
                </c:pt>
                <c:pt idx="8">
                  <c:v>Inversión Pública</c:v>
                </c:pt>
                <c:pt idx="9">
                  <c:v>Bienes Muebles e Inmuebles</c:v>
                </c:pt>
                <c:pt idx="10">
                  <c:v>- Obra Pública</c:v>
                </c:pt>
                <c:pt idx="11">
                  <c:v>Inversión Financiera</c:v>
                </c:pt>
              </c:strCache>
            </c:strRef>
          </c:cat>
          <c:val>
            <c:numRef>
              <c:f>'[cuuenta publica2020.xlsx]Hoja1'!$J$105:$J$116</c:f>
              <c:numCache>
                <c:formatCode>#,##0.00</c:formatCode>
                <c:ptCount val="12"/>
                <c:pt idx="0">
                  <c:v>163643513.09999999</c:v>
                </c:pt>
                <c:pt idx="1">
                  <c:v>121117597.3</c:v>
                </c:pt>
                <c:pt idx="2">
                  <c:v>42525915</c:v>
                </c:pt>
                <c:pt idx="3">
                  <c:v>14205332.4</c:v>
                </c:pt>
                <c:pt idx="4">
                  <c:v>28320583.399999999</c:v>
                </c:pt>
                <c:pt idx="5">
                  <c:v>39120925.899999999</c:v>
                </c:pt>
                <c:pt idx="6">
                  <c:v>11303821.300000001</c:v>
                </c:pt>
                <c:pt idx="7">
                  <c:v>27817104.600000001</c:v>
                </c:pt>
                <c:pt idx="8">
                  <c:v>30807962.899999999</c:v>
                </c:pt>
                <c:pt idx="9">
                  <c:v>941106</c:v>
                </c:pt>
                <c:pt idx="10">
                  <c:v>24737799.800000001</c:v>
                </c:pt>
                <c:pt idx="11">
                  <c:v>5129056.2</c:v>
                </c:pt>
              </c:numCache>
            </c:numRef>
          </c:val>
        </c:ser>
        <c:dLbls>
          <c:showLegendKey val="0"/>
          <c:showVal val="0"/>
          <c:showCatName val="0"/>
          <c:showSerName val="0"/>
          <c:showPercent val="0"/>
          <c:showBubbleSize val="0"/>
        </c:dLbls>
        <c:gapWidth val="150"/>
        <c:shape val="cylinder"/>
        <c:axId val="119646848"/>
        <c:axId val="119656832"/>
        <c:axId val="119649600"/>
      </c:bar3DChart>
      <c:catAx>
        <c:axId val="119646848"/>
        <c:scaling>
          <c:orientation val="minMax"/>
        </c:scaling>
        <c:delete val="0"/>
        <c:axPos val="b"/>
        <c:majorTickMark val="none"/>
        <c:minorTickMark val="none"/>
        <c:tickLblPos val="nextTo"/>
        <c:crossAx val="119656832"/>
        <c:crosses val="autoZero"/>
        <c:auto val="1"/>
        <c:lblAlgn val="ctr"/>
        <c:lblOffset val="100"/>
        <c:noMultiLvlLbl val="0"/>
      </c:catAx>
      <c:valAx>
        <c:axId val="119656832"/>
        <c:scaling>
          <c:orientation val="minMax"/>
        </c:scaling>
        <c:delete val="1"/>
        <c:axPos val="l"/>
        <c:majorGridlines/>
        <c:numFmt formatCode="#,##0.00" sourceLinked="1"/>
        <c:majorTickMark val="none"/>
        <c:minorTickMark val="none"/>
        <c:tickLblPos val="nextTo"/>
        <c:crossAx val="119646848"/>
        <c:crosses val="autoZero"/>
        <c:crossBetween val="between"/>
      </c:valAx>
      <c:serAx>
        <c:axId val="119649600"/>
        <c:scaling>
          <c:orientation val="minMax"/>
        </c:scaling>
        <c:delete val="1"/>
        <c:axPos val="b"/>
        <c:majorTickMark val="none"/>
        <c:minorTickMark val="none"/>
        <c:tickLblPos val="nextTo"/>
        <c:crossAx val="119656832"/>
        <c:crosses val="autoZero"/>
      </c:ser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 No Programable</a:t>
            </a:r>
          </a:p>
        </c:rich>
      </c:tx>
      <c:overlay val="0"/>
    </c:title>
    <c:autoTitleDeleted val="0"/>
    <c:plotArea>
      <c:layout/>
      <c:pieChart>
        <c:varyColors val="1"/>
        <c:ser>
          <c:idx val="5"/>
          <c:order val="5"/>
          <c:explosion val="1"/>
          <c:dLbls>
            <c:showLegendKey val="0"/>
            <c:showVal val="0"/>
            <c:showCatName val="0"/>
            <c:showSerName val="0"/>
            <c:showPercent val="1"/>
            <c:showBubbleSize val="0"/>
            <c:showLeaderLines val="1"/>
          </c:dLbls>
          <c:cat>
            <c:strRef>
              <c:f>'[cuuenta publica2020.xlsx]Hoja1'!$D$118:$D$125</c:f>
              <c:strCache>
                <c:ptCount val="6"/>
                <c:pt idx="0">
                  <c:v>- Participaciones</c:v>
                </c:pt>
                <c:pt idx="1">
                  <c:v>Aportaciones del Ramo 33</c:v>
                </c:pt>
                <c:pt idx="2">
                  <c:v>- Convenios</c:v>
                </c:pt>
                <c:pt idx="3">
                  <c:v>- Costo Financiero de la Deud</c:v>
                </c:pt>
                <c:pt idx="4">
                  <c:v>Amortizaciones</c:v>
                </c:pt>
                <c:pt idx="5">
                  <c:v>-Pago de Adefas</c:v>
                </c:pt>
              </c:strCache>
            </c:strRef>
          </c:cat>
          <c:val>
            <c:numRef>
              <c:f>'[cuuenta publica2020.xlsx]Hoja1'!$J$118:$J$125</c:f>
              <c:numCache>
                <c:formatCode>#,##0.00</c:formatCode>
                <c:ptCount val="6"/>
                <c:pt idx="0">
                  <c:v>28978896.899999999</c:v>
                </c:pt>
                <c:pt idx="1">
                  <c:v>17345890.199999999</c:v>
                </c:pt>
                <c:pt idx="2">
                  <c:v>557066</c:v>
                </c:pt>
                <c:pt idx="3">
                  <c:v>4033583.2</c:v>
                </c:pt>
                <c:pt idx="4">
                  <c:v>2383398.7000000002</c:v>
                </c:pt>
                <c:pt idx="5">
                  <c:v>15562928.6</c:v>
                </c:pt>
              </c:numCache>
            </c:numRef>
          </c:val>
        </c:ser>
        <c:ser>
          <c:idx val="4"/>
          <c:order val="4"/>
          <c:explosion val="25"/>
          <c:dLbls>
            <c:showLegendKey val="0"/>
            <c:showVal val="0"/>
            <c:showCatName val="0"/>
            <c:showSerName val="0"/>
            <c:showPercent val="1"/>
            <c:showBubbleSize val="0"/>
            <c:showLeaderLines val="1"/>
          </c:dLbls>
          <c:cat>
            <c:strRef>
              <c:f>'[cuuenta publica2020.xlsx]Hoja1'!$D$118:$D$125</c:f>
              <c:strCache>
                <c:ptCount val="6"/>
                <c:pt idx="0">
                  <c:v>- Participaciones</c:v>
                </c:pt>
                <c:pt idx="1">
                  <c:v>Aportaciones del Ramo 33</c:v>
                </c:pt>
                <c:pt idx="2">
                  <c:v>- Convenios</c:v>
                </c:pt>
                <c:pt idx="3">
                  <c:v>- Costo Financiero de la Deud</c:v>
                </c:pt>
                <c:pt idx="4">
                  <c:v>Amortizaciones</c:v>
                </c:pt>
                <c:pt idx="5">
                  <c:v>-Pago de Adefas</c:v>
                </c:pt>
              </c:strCache>
            </c:strRef>
          </c:cat>
          <c:val>
            <c:numRef>
              <c:f>'[cuuenta publica2020.xlsx]Hoja1'!$I$117:$I$125</c:f>
            </c:numRef>
          </c:val>
        </c:ser>
        <c:ser>
          <c:idx val="3"/>
          <c:order val="3"/>
          <c:explosion val="25"/>
          <c:dLbls>
            <c:showLegendKey val="0"/>
            <c:showVal val="0"/>
            <c:showCatName val="0"/>
            <c:showSerName val="0"/>
            <c:showPercent val="1"/>
            <c:showBubbleSize val="0"/>
            <c:showLeaderLines val="1"/>
          </c:dLbls>
          <c:cat>
            <c:strRef>
              <c:f>'[cuuenta publica2020.xlsx]Hoja1'!$D$118:$D$125</c:f>
              <c:strCache>
                <c:ptCount val="6"/>
                <c:pt idx="0">
                  <c:v>- Participaciones</c:v>
                </c:pt>
                <c:pt idx="1">
                  <c:v>Aportaciones del Ramo 33</c:v>
                </c:pt>
                <c:pt idx="2">
                  <c:v>- Convenios</c:v>
                </c:pt>
                <c:pt idx="3">
                  <c:v>- Costo Financiero de la Deud</c:v>
                </c:pt>
                <c:pt idx="4">
                  <c:v>Amortizaciones</c:v>
                </c:pt>
                <c:pt idx="5">
                  <c:v>-Pago de Adefas</c:v>
                </c:pt>
              </c:strCache>
            </c:strRef>
          </c:cat>
          <c:val>
            <c:numRef>
              <c:f>'[cuuenta publica2020.xlsx]Hoja1'!$H$117:$H$125</c:f>
            </c:numRef>
          </c:val>
        </c:ser>
        <c:ser>
          <c:idx val="2"/>
          <c:order val="2"/>
          <c:explosion val="25"/>
          <c:dLbls>
            <c:showLegendKey val="0"/>
            <c:showVal val="0"/>
            <c:showCatName val="0"/>
            <c:showSerName val="0"/>
            <c:showPercent val="1"/>
            <c:showBubbleSize val="0"/>
            <c:showLeaderLines val="1"/>
          </c:dLbls>
          <c:cat>
            <c:strRef>
              <c:f>'[cuuenta publica2020.xlsx]Hoja1'!$D$118:$D$125</c:f>
              <c:strCache>
                <c:ptCount val="6"/>
                <c:pt idx="0">
                  <c:v>- Participaciones</c:v>
                </c:pt>
                <c:pt idx="1">
                  <c:v>Aportaciones del Ramo 33</c:v>
                </c:pt>
                <c:pt idx="2">
                  <c:v>- Convenios</c:v>
                </c:pt>
                <c:pt idx="3">
                  <c:v>- Costo Financiero de la Deud</c:v>
                </c:pt>
                <c:pt idx="4">
                  <c:v>Amortizaciones</c:v>
                </c:pt>
                <c:pt idx="5">
                  <c:v>-Pago de Adefas</c:v>
                </c:pt>
              </c:strCache>
            </c:strRef>
          </c:cat>
          <c:val>
            <c:numRef>
              <c:f>'[cuuenta publica2020.xlsx]Hoja1'!$G$117:$G$125</c:f>
            </c:numRef>
          </c:val>
        </c:ser>
        <c:ser>
          <c:idx val="1"/>
          <c:order val="1"/>
          <c:explosion val="25"/>
          <c:dLbls>
            <c:showLegendKey val="0"/>
            <c:showVal val="0"/>
            <c:showCatName val="0"/>
            <c:showSerName val="0"/>
            <c:showPercent val="1"/>
            <c:showBubbleSize val="0"/>
            <c:showLeaderLines val="1"/>
          </c:dLbls>
          <c:cat>
            <c:strRef>
              <c:f>'[cuuenta publica2020.xlsx]Hoja1'!$D$118:$D$125</c:f>
              <c:strCache>
                <c:ptCount val="6"/>
                <c:pt idx="0">
                  <c:v>- Participaciones</c:v>
                </c:pt>
                <c:pt idx="1">
                  <c:v>Aportaciones del Ramo 33</c:v>
                </c:pt>
                <c:pt idx="2">
                  <c:v>- Convenios</c:v>
                </c:pt>
                <c:pt idx="3">
                  <c:v>- Costo Financiero de la Deud</c:v>
                </c:pt>
                <c:pt idx="4">
                  <c:v>Amortizaciones</c:v>
                </c:pt>
                <c:pt idx="5">
                  <c:v>-Pago de Adefas</c:v>
                </c:pt>
              </c:strCache>
            </c:strRef>
          </c:cat>
          <c:val>
            <c:numRef>
              <c:f>'[cuuenta publica2020.xlsx]Hoja1'!$F$117:$F$125</c:f>
            </c:numRef>
          </c:val>
        </c:ser>
        <c:ser>
          <c:idx val="0"/>
          <c:order val="0"/>
          <c:explosion val="25"/>
          <c:dLbls>
            <c:showLegendKey val="0"/>
            <c:showVal val="0"/>
            <c:showCatName val="0"/>
            <c:showSerName val="0"/>
            <c:showPercent val="1"/>
            <c:showBubbleSize val="0"/>
            <c:showLeaderLines val="1"/>
          </c:dLbls>
          <c:cat>
            <c:strRef>
              <c:f>'[cuuenta publica2020.xlsx]Hoja1'!$D$118:$D$125</c:f>
              <c:strCache>
                <c:ptCount val="6"/>
                <c:pt idx="0">
                  <c:v>- Participaciones</c:v>
                </c:pt>
                <c:pt idx="1">
                  <c:v>Aportaciones del Ramo 33</c:v>
                </c:pt>
                <c:pt idx="2">
                  <c:v>- Convenios</c:v>
                </c:pt>
                <c:pt idx="3">
                  <c:v>- Costo Financiero de la Deud</c:v>
                </c:pt>
                <c:pt idx="4">
                  <c:v>Amortizaciones</c:v>
                </c:pt>
                <c:pt idx="5">
                  <c:v>-Pago de Adefas</c:v>
                </c:pt>
              </c:strCache>
            </c:strRef>
          </c:cat>
          <c:val>
            <c:numRef>
              <c:f>'[cuuenta publica2020.xlsx]Hoja1'!$E$117:$E$125</c:f>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EL ESTADO DE MÉXICO ES LÍDER NACIONAL EN LA INDUSTRIA MANUFACTURERA, DESTACANDO EN CUATRO RUBROS: </a:t>
            </a: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BE3-482A-95E3-6D9CEF3EB1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BE3-482A-95E3-6D9CEF3EB1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BE3-482A-95E3-6D9CEF3EB1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BE3-482A-95E3-6D9CEF3EB1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Fabricación nacional de insumos, acabados y productos textiles(excepto prendas de vestir)</c:v>
                </c:pt>
                <c:pt idx="1">
                  <c:v>Fabricación de muebles, colchones y persianas.</c:v>
                </c:pt>
                <c:pt idx="2">
                  <c:v>Industrias de papel, impresión e industrias conexas.</c:v>
                </c:pt>
                <c:pt idx="3">
                  <c:v>Industria alimentaria. </c:v>
                </c:pt>
              </c:strCache>
            </c:strRef>
          </c:cat>
          <c:val>
            <c:numRef>
              <c:f>Hoja1!$B$2:$B$5</c:f>
              <c:numCache>
                <c:formatCode>0.00%</c:formatCode>
                <c:ptCount val="4"/>
                <c:pt idx="0">
                  <c:v>0.157</c:v>
                </c:pt>
                <c:pt idx="1">
                  <c:v>0.16300000000000001</c:v>
                </c:pt>
                <c:pt idx="2">
                  <c:v>0.187</c:v>
                </c:pt>
                <c:pt idx="3">
                  <c:v>0.13400000000000001</c:v>
                </c:pt>
              </c:numCache>
            </c:numRef>
          </c:val>
          <c:extLst xmlns:c16r2="http://schemas.microsoft.com/office/drawing/2015/06/chart">
            <c:ext xmlns:c16="http://schemas.microsoft.com/office/drawing/2014/chart" uri="{C3380CC4-5D6E-409C-BE32-E72D297353CC}">
              <c16:uniqueId val="{00000008-BBE3-482A-95E3-6D9CEF3EB15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2107217528607067"/>
          <c:y val="0.62177384076990372"/>
          <c:w val="0.75343380551894867"/>
          <c:h val="0.371450067112946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 de las emisiones de Gases de Efecto Invernadero del país.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41D-4D91-B203-0BFE029D24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41D-4D91-B203-0BFE029D24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41D-4D91-B203-0BFE029D24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41D-4D91-B203-0BFE029D24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3"/>
                <c:pt idx="0">
                  <c:v> 21 millones de automóviles
en circulación concentrados en las ciudades.</c:v>
                </c:pt>
                <c:pt idx="1">
                  <c:v>Viajes en automóvil.</c:v>
                </c:pt>
                <c:pt idx="2">
                  <c:v>Traslados urbanos.</c:v>
                </c:pt>
              </c:strCache>
            </c:strRef>
          </c:cat>
          <c:val>
            <c:numRef>
              <c:f>Hoja1!$B$2:$B$5</c:f>
              <c:numCache>
                <c:formatCode>0%</c:formatCode>
                <c:ptCount val="4"/>
                <c:pt idx="0">
                  <c:v>0.18</c:v>
                </c:pt>
                <c:pt idx="1">
                  <c:v>0.2</c:v>
                </c:pt>
                <c:pt idx="2">
                  <c:v>0.3</c:v>
                </c:pt>
              </c:numCache>
            </c:numRef>
          </c:val>
          <c:extLst xmlns:c16r2="http://schemas.microsoft.com/office/drawing/2015/06/chart">
            <c:ext xmlns:c16="http://schemas.microsoft.com/office/drawing/2014/chart" uri="{C3380CC4-5D6E-409C-BE32-E72D297353CC}">
              <c16:uniqueId val="{00000008-341D-4D91-B203-0BFE029D24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AR" sz="1100">
                <a:latin typeface="Arial" panose="020B0604020202020204" pitchFamily="34" charset="0"/>
                <a:cs typeface="Arial" panose="020B0604020202020204" pitchFamily="34" charset="0"/>
              </a:rPr>
              <a:t>EL ESTADO DE MÉXICO CUENTA CON 17.4 MILLONES DE HABITANTES, DE LOS CUALES:</a:t>
            </a:r>
            <a:endParaRPr lang="en-US"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Hoja1!$B$1</c:f>
              <c:strCache>
                <c:ptCount val="1"/>
                <c:pt idx="0">
                  <c:v>Ventas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36F-4304-ACA6-DB2F8931291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36F-4304-ACA6-DB2F8931291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36F-4304-ACA6-DB2F8931291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936F-4304-ACA6-DB2F893129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MUJERES</c:v>
                </c:pt>
                <c:pt idx="1">
                  <c:v>ESTÁN EN EDAD PARA TRABAJAR.</c:v>
                </c:pt>
                <c:pt idx="2">
                  <c:v>PARTE DE LA POBLACIÓN ECONÓMICAMNETE ACTIVA.</c:v>
                </c:pt>
                <c:pt idx="3">
                  <c:v>AFECTADAS POR DESEMPLEO.</c:v>
                </c:pt>
              </c:strCache>
            </c:strRef>
          </c:cat>
          <c:val>
            <c:numRef>
              <c:f>Hoja1!$B$2:$B$5</c:f>
              <c:numCache>
                <c:formatCode>0.00%</c:formatCode>
                <c:ptCount val="4"/>
                <c:pt idx="0">
                  <c:v>0.52400000000000002</c:v>
                </c:pt>
                <c:pt idx="1">
                  <c:v>0.7621</c:v>
                </c:pt>
                <c:pt idx="2">
                  <c:v>0.32490000000000002</c:v>
                </c:pt>
                <c:pt idx="3">
                  <c:v>5.0999999999999997E-2</c:v>
                </c:pt>
              </c:numCache>
            </c:numRef>
          </c:val>
          <c:extLst xmlns:c16r2="http://schemas.microsoft.com/office/drawing/2015/06/chart">
            <c:ext xmlns:c16="http://schemas.microsoft.com/office/drawing/2014/chart" uri="{C3380CC4-5D6E-409C-BE32-E72D297353CC}">
              <c16:uniqueId val="{00000008-936F-4304-ACA6-DB2F893129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Hoja1!$A$2:$A$6</cx:f>
        <cx:lvl ptCount="5">
          <cx:pt idx="0">POBREZA</cx:pt>
          <cx:pt idx="1">ALIMENTACIÓN </cx:pt>
          <cx:pt idx="2">SALUD</cx:pt>
          <cx:pt idx="3">EDUCACIÓN</cx:pt>
          <cx:pt idx="4">VIVIENDA DIGNA</cx:pt>
        </cx:lvl>
      </cx:strDim>
      <cx:numDim type="val">
        <cx:f>Hoja1!$B$2:$B$6</cx:f>
        <cx:lvl ptCount="5" formatCode="Estándar">
          <cx:pt idx="0">1</cx:pt>
          <cx:pt idx="1">2</cx:pt>
          <cx:pt idx="2">3</cx:pt>
          <cx:pt idx="3">4</cx:pt>
          <cx:pt idx="4">5</cx:pt>
        </cx:lvl>
      </cx:numDim>
    </cx:data>
  </cx:chartData>
  <cx:chart>
    <cx:title pos="t" align="ctr" overlay="0">
      <cx:tx>
        <cx:rich>
          <a:bodyPr spcFirstLastPara="1" vertOverflow="ellipsis" horzOverflow="overflow" wrap="square" lIns="0" tIns="0" rIns="0" bIns="0" anchor="ctr" anchorCtr="1"/>
          <a:lstStyle/>
          <a:p>
            <a:pPr algn="ctr" rtl="0">
              <a:defRPr>
                <a:ln>
                  <a:solidFill>
                    <a:schemeClr val="accent1"/>
                  </a:solidFill>
                </a:ln>
                <a:solidFill>
                  <a:schemeClr val="tx1"/>
                </a:solidFill>
              </a:defRPr>
            </a:pPr>
            <a:r>
              <a:rPr lang="es-ES" sz="1100" b="0" i="0" u="none" strike="noStrike" baseline="0">
                <a:ln>
                  <a:solidFill>
                    <a:schemeClr val="accent1"/>
                  </a:solidFill>
                </a:ln>
                <a:solidFill>
                  <a:schemeClr val="tx1"/>
                </a:solidFill>
                <a:latin typeface="Arial" panose="020B0604020202020204" pitchFamily="34" charset="0"/>
                <a:cs typeface="Arial" panose="020B0604020202020204" pitchFamily="34" charset="0"/>
              </a:rPr>
              <a:t>PRINCIPALES CARENCIAS DEL PILAR SOCIAL</a:t>
            </a:r>
            <a:r>
              <a:rPr lang="es-ES" sz="1400" b="0" i="0" u="none" strike="noStrike" baseline="0">
                <a:ln>
                  <a:solidFill>
                    <a:schemeClr val="accent1"/>
                  </a:solidFill>
                </a:ln>
                <a:solidFill>
                  <a:schemeClr val="tx1"/>
                </a:solidFill>
                <a:latin typeface="Calibri" panose="020F0502020204030204"/>
              </a:rPr>
              <a:t>. </a:t>
            </a:r>
          </a:p>
        </cx:rich>
      </cx:tx>
    </cx:title>
    <cx:plotArea>
      <cx:plotAreaRegion>
        <cx:series layoutId="funnel" uniqueId="{3EACDADB-BE00-418F-BD4F-8533BDA8BE2A}">
          <cx:tx>
            <cx:txData>
              <cx:f>Hoja1!$B$1</cx:f>
              <cx:v>EJES CON LAS PRINCIPALES CARENCIAS EN EL PILAR SOCIAL EDO. MÉX.</cx:v>
            </cx:txData>
          </cx:tx>
          <cx:dataLabels>
            <cx:visibility seriesName="0" categoryName="0" value="1"/>
          </cx:dataLabels>
          <cx:dataId val="0"/>
        </cx:series>
      </cx:plotAreaRegion>
      <cx:axis id="0">
        <cx:catScaling gapWidth="0.5"/>
        <cx:tickLabels/>
        <cx:txPr>
          <a:bodyPr spcFirstLastPara="1" vertOverflow="ellipsis" horzOverflow="overflow" wrap="square" lIns="0" tIns="0" rIns="0" bIns="0" anchor="ctr" anchorCtr="1"/>
          <a:lstStyle/>
          <a:p>
            <a:pPr algn="ctr" rtl="0">
              <a:defRPr>
                <a:solidFill>
                  <a:schemeClr val="tx1"/>
                </a:solidFill>
              </a:defRPr>
            </a:pPr>
            <a:endParaRPr lang="es-ES" sz="900" b="0" i="0" u="none" strike="noStrike" baseline="0">
              <a:solidFill>
                <a:schemeClr val="tx1"/>
              </a:solidFill>
              <a:latin typeface="Calibri" panose="020F0502020204030204"/>
            </a:endParaRPr>
          </a:p>
        </cx:txPr>
      </cx:axis>
    </cx:plotArea>
  </cx:chart>
</cx:chartSpace>
</file>

<file path=word/charts/colors10.xml><?xml version="1.0" encoding="utf-8"?>
<cs:colorStyle xmlns:cs="http://schemas.microsoft.com/office/drawing/2012/chartStyle" xmlns:a="http://schemas.openxmlformats.org/drawingml/2006/main" meth="withinLinear" id="16">
  <a:schemeClr val="accent3"/>
</cs:colorStyle>
</file>

<file path=word/charts/style10.xml><?xml version="1.0" encoding="utf-8"?>
<cs:chartStyle xmlns:cs="http://schemas.microsoft.com/office/drawing/2012/chartStyle" xmlns:a="http://schemas.openxmlformats.org/drawingml/2006/main" id="425">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diagrams/_rels/data5.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4" Type="http://schemas.openxmlformats.org/officeDocument/2006/relationships/image" Target="../media/image17.jpeg"/></Relationships>
</file>

<file path=word/diagrams/_rels/data7.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5" Type="http://schemas.openxmlformats.org/officeDocument/2006/relationships/image" Target="../media/image25.jpeg"/><Relationship Id="rId4" Type="http://schemas.openxmlformats.org/officeDocument/2006/relationships/image" Target="../media/image24.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4" Type="http://schemas.openxmlformats.org/officeDocument/2006/relationships/image" Target="../media/image17.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5" Type="http://schemas.openxmlformats.org/officeDocument/2006/relationships/image" Target="../media/image25.jpeg"/><Relationship Id="rId4"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A7A83-1EA1-4791-8D37-306013126429}" type="doc">
      <dgm:prSet loTypeId="urn:microsoft.com/office/officeart/2005/8/layout/venn3" loCatId="relationship" qsTypeId="urn:microsoft.com/office/officeart/2005/8/quickstyle/simple1" qsCatId="simple" csTypeId="urn:microsoft.com/office/officeart/2005/8/colors/colorful1" csCatId="colorful" phldr="1"/>
      <dgm:spPr/>
    </dgm:pt>
    <dgm:pt modelId="{2D06102C-ACB9-41DF-9806-62E0AF92C6E4}">
      <dgm:prSet phldrT="[Texto]"/>
      <dgm:spPr/>
      <dgm:t>
        <a:bodyPr/>
        <a:lstStyle/>
        <a:p>
          <a:pPr algn="ctr"/>
          <a:r>
            <a:rPr lang="es-AR" b="1">
              <a:latin typeface="Arial" panose="020B0604020202020204" pitchFamily="34" charset="0"/>
              <a:cs typeface="Arial" panose="020B0604020202020204" pitchFamily="34" charset="0"/>
            </a:rPr>
            <a:t>NIÑEZ EN SITAUCIÓN DE POBREZA. </a:t>
          </a:r>
        </a:p>
      </dgm:t>
    </dgm:pt>
    <dgm:pt modelId="{B4C1F4CC-CC7E-4F79-BA90-CC74F9DF01C2}" type="parTrans" cxnId="{B807AC9E-7493-4C73-8C86-0019A00D69AD}">
      <dgm:prSet/>
      <dgm:spPr/>
      <dgm:t>
        <a:bodyPr/>
        <a:lstStyle/>
        <a:p>
          <a:endParaRPr lang="es-AR"/>
        </a:p>
      </dgm:t>
    </dgm:pt>
    <dgm:pt modelId="{65273DF3-9D03-40F7-A1A4-64E68F4F88DD}" type="sibTrans" cxnId="{B807AC9E-7493-4C73-8C86-0019A00D69AD}">
      <dgm:prSet/>
      <dgm:spPr/>
      <dgm:t>
        <a:bodyPr/>
        <a:lstStyle/>
        <a:p>
          <a:endParaRPr lang="es-AR"/>
        </a:p>
      </dgm:t>
    </dgm:pt>
    <dgm:pt modelId="{0D444401-F3BC-4256-9517-F6E6C07CAFD3}">
      <dgm:prSet phldrT="[Texto]"/>
      <dgm:spPr/>
      <dgm:t>
        <a:bodyPr/>
        <a:lstStyle/>
        <a:p>
          <a:pPr algn="ctr"/>
          <a:r>
            <a:rPr lang="es-AR" b="1">
              <a:latin typeface="Arial" panose="020B0604020202020204" pitchFamily="34" charset="0"/>
              <a:cs typeface="Arial" panose="020B0604020202020204" pitchFamily="34" charset="0"/>
            </a:rPr>
            <a:t>ADULTOS MAYORES.</a:t>
          </a:r>
        </a:p>
      </dgm:t>
    </dgm:pt>
    <dgm:pt modelId="{1443D0DC-7D4A-4FC4-8C0F-3C28EF862F87}" type="parTrans" cxnId="{250FCBC2-9CE8-49B3-B04A-E15CCDB1EF57}">
      <dgm:prSet/>
      <dgm:spPr/>
      <dgm:t>
        <a:bodyPr/>
        <a:lstStyle/>
        <a:p>
          <a:endParaRPr lang="es-AR"/>
        </a:p>
      </dgm:t>
    </dgm:pt>
    <dgm:pt modelId="{4F02024E-153E-4ACA-A868-E7436369EFBC}" type="sibTrans" cxnId="{250FCBC2-9CE8-49B3-B04A-E15CCDB1EF57}">
      <dgm:prSet/>
      <dgm:spPr/>
      <dgm:t>
        <a:bodyPr/>
        <a:lstStyle/>
        <a:p>
          <a:endParaRPr lang="es-AR"/>
        </a:p>
      </dgm:t>
    </dgm:pt>
    <dgm:pt modelId="{96D876A5-64E6-47C2-8A52-C5A49D4A6434}">
      <dgm:prSet phldrT="[Texto]"/>
      <dgm:spPr/>
      <dgm:t>
        <a:bodyPr/>
        <a:lstStyle/>
        <a:p>
          <a:pPr algn="ctr"/>
          <a:r>
            <a:rPr lang="es-AR" b="1">
              <a:latin typeface="Arial" panose="020B0604020202020204" pitchFamily="34" charset="0"/>
              <a:cs typeface="Arial" panose="020B0604020202020204" pitchFamily="34" charset="0"/>
            </a:rPr>
            <a:t>INDÍGENAS MEXIQUENSES.</a:t>
          </a:r>
        </a:p>
      </dgm:t>
    </dgm:pt>
    <dgm:pt modelId="{C6DA7D99-C0CA-4504-87A9-916E9424834C}" type="parTrans" cxnId="{327C7AA9-F7C1-4385-83DF-A53370C8CB4E}">
      <dgm:prSet/>
      <dgm:spPr/>
      <dgm:t>
        <a:bodyPr/>
        <a:lstStyle/>
        <a:p>
          <a:endParaRPr lang="es-AR"/>
        </a:p>
      </dgm:t>
    </dgm:pt>
    <dgm:pt modelId="{D1055A81-C826-4240-8D30-DD923D8DAA5D}" type="sibTrans" cxnId="{327C7AA9-F7C1-4385-83DF-A53370C8CB4E}">
      <dgm:prSet/>
      <dgm:spPr/>
      <dgm:t>
        <a:bodyPr/>
        <a:lstStyle/>
        <a:p>
          <a:endParaRPr lang="es-AR"/>
        </a:p>
      </dgm:t>
    </dgm:pt>
    <dgm:pt modelId="{095CA684-91AF-4C7B-B4CE-C9261145648D}">
      <dgm:prSet phldrT="[Texto]"/>
      <dgm:spPr/>
      <dgm:t>
        <a:bodyPr/>
        <a:lstStyle/>
        <a:p>
          <a:pPr algn="ctr"/>
          <a:r>
            <a:rPr lang="es-AR" b="1">
              <a:latin typeface="Arial" panose="020B0604020202020204" pitchFamily="34" charset="0"/>
              <a:cs typeface="Arial" panose="020B0604020202020204" pitchFamily="34" charset="0"/>
            </a:rPr>
            <a:t>PERSONAS CON DISCAPADIDAD.</a:t>
          </a:r>
        </a:p>
      </dgm:t>
    </dgm:pt>
    <dgm:pt modelId="{9EAB4918-E997-4C82-A70D-559286F830EC}" type="parTrans" cxnId="{C90AA431-C97C-45A6-AFB0-8E650738AD2D}">
      <dgm:prSet/>
      <dgm:spPr/>
      <dgm:t>
        <a:bodyPr/>
        <a:lstStyle/>
        <a:p>
          <a:endParaRPr lang="es-AR"/>
        </a:p>
      </dgm:t>
    </dgm:pt>
    <dgm:pt modelId="{B702C58C-15FA-4335-8A8D-D218629BBE4A}" type="sibTrans" cxnId="{C90AA431-C97C-45A6-AFB0-8E650738AD2D}">
      <dgm:prSet/>
      <dgm:spPr/>
      <dgm:t>
        <a:bodyPr/>
        <a:lstStyle/>
        <a:p>
          <a:endParaRPr lang="es-AR"/>
        </a:p>
      </dgm:t>
    </dgm:pt>
    <dgm:pt modelId="{A12456E9-D049-483D-8E38-13DBA00A5E54}">
      <dgm:prSet phldrT="[Texto]"/>
      <dgm:spPr/>
      <dgm:t>
        <a:bodyPr/>
        <a:lstStyle/>
        <a:p>
          <a:pPr algn="ctr"/>
          <a:r>
            <a:rPr lang="es-AR" b="1">
              <a:latin typeface="Arial" panose="020B0604020202020204" pitchFamily="34" charset="0"/>
              <a:cs typeface="Arial" panose="020B0604020202020204" pitchFamily="34" charset="0"/>
            </a:rPr>
            <a:t>MIGRANTES.</a:t>
          </a:r>
        </a:p>
      </dgm:t>
    </dgm:pt>
    <dgm:pt modelId="{297526A6-2570-4AE3-A350-D3725F7829AE}" type="parTrans" cxnId="{A8FD0D13-40E6-487D-A426-A69B8BFDBA1E}">
      <dgm:prSet/>
      <dgm:spPr/>
      <dgm:t>
        <a:bodyPr/>
        <a:lstStyle/>
        <a:p>
          <a:endParaRPr lang="es-AR"/>
        </a:p>
      </dgm:t>
    </dgm:pt>
    <dgm:pt modelId="{CA1B42D3-48AD-4F89-ABA6-C3DC7E45CD00}" type="sibTrans" cxnId="{A8FD0D13-40E6-487D-A426-A69B8BFDBA1E}">
      <dgm:prSet/>
      <dgm:spPr/>
      <dgm:t>
        <a:bodyPr/>
        <a:lstStyle/>
        <a:p>
          <a:endParaRPr lang="es-AR"/>
        </a:p>
      </dgm:t>
    </dgm:pt>
    <dgm:pt modelId="{97364A17-666C-45E6-86BC-94B27084D497}" type="pres">
      <dgm:prSet presAssocID="{5B3A7A83-1EA1-4791-8D37-306013126429}" presName="Name0" presStyleCnt="0">
        <dgm:presLayoutVars>
          <dgm:dir/>
          <dgm:resizeHandles val="exact"/>
        </dgm:presLayoutVars>
      </dgm:prSet>
      <dgm:spPr/>
    </dgm:pt>
    <dgm:pt modelId="{45B47E59-D2B6-4C64-B43B-DB84D2EEA775}" type="pres">
      <dgm:prSet presAssocID="{2D06102C-ACB9-41DF-9806-62E0AF92C6E4}" presName="Name5" presStyleLbl="vennNode1" presStyleIdx="0" presStyleCnt="5">
        <dgm:presLayoutVars>
          <dgm:bulletEnabled val="1"/>
        </dgm:presLayoutVars>
      </dgm:prSet>
      <dgm:spPr/>
      <dgm:t>
        <a:bodyPr/>
        <a:lstStyle/>
        <a:p>
          <a:endParaRPr lang="es-MX"/>
        </a:p>
      </dgm:t>
    </dgm:pt>
    <dgm:pt modelId="{EC06C693-FD3F-4932-89AF-96A21C65C1F8}" type="pres">
      <dgm:prSet presAssocID="{65273DF3-9D03-40F7-A1A4-64E68F4F88DD}" presName="space" presStyleCnt="0"/>
      <dgm:spPr/>
    </dgm:pt>
    <dgm:pt modelId="{652CA0FF-39B6-40C0-8783-F4D44A3C3D8D}" type="pres">
      <dgm:prSet presAssocID="{0D444401-F3BC-4256-9517-F6E6C07CAFD3}" presName="Name5" presStyleLbl="vennNode1" presStyleIdx="1" presStyleCnt="5">
        <dgm:presLayoutVars>
          <dgm:bulletEnabled val="1"/>
        </dgm:presLayoutVars>
      </dgm:prSet>
      <dgm:spPr/>
      <dgm:t>
        <a:bodyPr/>
        <a:lstStyle/>
        <a:p>
          <a:endParaRPr lang="es-MX"/>
        </a:p>
      </dgm:t>
    </dgm:pt>
    <dgm:pt modelId="{97CC77AE-5D86-428B-BF19-189161291B7A}" type="pres">
      <dgm:prSet presAssocID="{4F02024E-153E-4ACA-A868-E7436369EFBC}" presName="space" presStyleCnt="0"/>
      <dgm:spPr/>
    </dgm:pt>
    <dgm:pt modelId="{E1E1C47F-DAF6-427A-BD04-3A5663EC6C36}" type="pres">
      <dgm:prSet presAssocID="{96D876A5-64E6-47C2-8A52-C5A49D4A6434}" presName="Name5" presStyleLbl="vennNode1" presStyleIdx="2" presStyleCnt="5">
        <dgm:presLayoutVars>
          <dgm:bulletEnabled val="1"/>
        </dgm:presLayoutVars>
      </dgm:prSet>
      <dgm:spPr/>
      <dgm:t>
        <a:bodyPr/>
        <a:lstStyle/>
        <a:p>
          <a:endParaRPr lang="es-MX"/>
        </a:p>
      </dgm:t>
    </dgm:pt>
    <dgm:pt modelId="{9B579158-8E86-43D7-AF3B-2206906BBD46}" type="pres">
      <dgm:prSet presAssocID="{D1055A81-C826-4240-8D30-DD923D8DAA5D}" presName="space" presStyleCnt="0"/>
      <dgm:spPr/>
    </dgm:pt>
    <dgm:pt modelId="{96867560-B44E-4728-8703-0B4311783A93}" type="pres">
      <dgm:prSet presAssocID="{095CA684-91AF-4C7B-B4CE-C9261145648D}" presName="Name5" presStyleLbl="vennNode1" presStyleIdx="3" presStyleCnt="5">
        <dgm:presLayoutVars>
          <dgm:bulletEnabled val="1"/>
        </dgm:presLayoutVars>
      </dgm:prSet>
      <dgm:spPr/>
      <dgm:t>
        <a:bodyPr/>
        <a:lstStyle/>
        <a:p>
          <a:endParaRPr lang="es-MX"/>
        </a:p>
      </dgm:t>
    </dgm:pt>
    <dgm:pt modelId="{AA6F1038-DE78-48B0-A72E-DF70E9E9ABF0}" type="pres">
      <dgm:prSet presAssocID="{B702C58C-15FA-4335-8A8D-D218629BBE4A}" presName="space" presStyleCnt="0"/>
      <dgm:spPr/>
    </dgm:pt>
    <dgm:pt modelId="{63F0C20E-E722-42B4-A655-3B113C9BDDBC}" type="pres">
      <dgm:prSet presAssocID="{A12456E9-D049-483D-8E38-13DBA00A5E54}" presName="Name5" presStyleLbl="vennNode1" presStyleIdx="4" presStyleCnt="5">
        <dgm:presLayoutVars>
          <dgm:bulletEnabled val="1"/>
        </dgm:presLayoutVars>
      </dgm:prSet>
      <dgm:spPr/>
      <dgm:t>
        <a:bodyPr/>
        <a:lstStyle/>
        <a:p>
          <a:endParaRPr lang="es-MX"/>
        </a:p>
      </dgm:t>
    </dgm:pt>
  </dgm:ptLst>
  <dgm:cxnLst>
    <dgm:cxn modelId="{25DCA483-07EB-478C-BA44-8A6AA2CED912}" type="presOf" srcId="{A12456E9-D049-483D-8E38-13DBA00A5E54}" destId="{63F0C20E-E722-42B4-A655-3B113C9BDDBC}" srcOrd="0" destOrd="0" presId="urn:microsoft.com/office/officeart/2005/8/layout/venn3"/>
    <dgm:cxn modelId="{C90AA431-C97C-45A6-AFB0-8E650738AD2D}" srcId="{5B3A7A83-1EA1-4791-8D37-306013126429}" destId="{095CA684-91AF-4C7B-B4CE-C9261145648D}" srcOrd="3" destOrd="0" parTransId="{9EAB4918-E997-4C82-A70D-559286F830EC}" sibTransId="{B702C58C-15FA-4335-8A8D-D218629BBE4A}"/>
    <dgm:cxn modelId="{83BAFE7E-1D0F-4261-B9F5-88357081BD11}" type="presOf" srcId="{5B3A7A83-1EA1-4791-8D37-306013126429}" destId="{97364A17-666C-45E6-86BC-94B27084D497}" srcOrd="0" destOrd="0" presId="urn:microsoft.com/office/officeart/2005/8/layout/venn3"/>
    <dgm:cxn modelId="{B807AC9E-7493-4C73-8C86-0019A00D69AD}" srcId="{5B3A7A83-1EA1-4791-8D37-306013126429}" destId="{2D06102C-ACB9-41DF-9806-62E0AF92C6E4}" srcOrd="0" destOrd="0" parTransId="{B4C1F4CC-CC7E-4F79-BA90-CC74F9DF01C2}" sibTransId="{65273DF3-9D03-40F7-A1A4-64E68F4F88DD}"/>
    <dgm:cxn modelId="{A8FD0D13-40E6-487D-A426-A69B8BFDBA1E}" srcId="{5B3A7A83-1EA1-4791-8D37-306013126429}" destId="{A12456E9-D049-483D-8E38-13DBA00A5E54}" srcOrd="4" destOrd="0" parTransId="{297526A6-2570-4AE3-A350-D3725F7829AE}" sibTransId="{CA1B42D3-48AD-4F89-ABA6-C3DC7E45CD00}"/>
    <dgm:cxn modelId="{D12742EE-C131-44CA-94EA-7220212C0DF9}" type="presOf" srcId="{2D06102C-ACB9-41DF-9806-62E0AF92C6E4}" destId="{45B47E59-D2B6-4C64-B43B-DB84D2EEA775}" srcOrd="0" destOrd="0" presId="urn:microsoft.com/office/officeart/2005/8/layout/venn3"/>
    <dgm:cxn modelId="{8867165D-BE3A-47BD-A7F6-0DF19AF0E98B}" type="presOf" srcId="{96D876A5-64E6-47C2-8A52-C5A49D4A6434}" destId="{E1E1C47F-DAF6-427A-BD04-3A5663EC6C36}" srcOrd="0" destOrd="0" presId="urn:microsoft.com/office/officeart/2005/8/layout/venn3"/>
    <dgm:cxn modelId="{327C7AA9-F7C1-4385-83DF-A53370C8CB4E}" srcId="{5B3A7A83-1EA1-4791-8D37-306013126429}" destId="{96D876A5-64E6-47C2-8A52-C5A49D4A6434}" srcOrd="2" destOrd="0" parTransId="{C6DA7D99-C0CA-4504-87A9-916E9424834C}" sibTransId="{D1055A81-C826-4240-8D30-DD923D8DAA5D}"/>
    <dgm:cxn modelId="{250FCBC2-9CE8-49B3-B04A-E15CCDB1EF57}" srcId="{5B3A7A83-1EA1-4791-8D37-306013126429}" destId="{0D444401-F3BC-4256-9517-F6E6C07CAFD3}" srcOrd="1" destOrd="0" parTransId="{1443D0DC-7D4A-4FC4-8C0F-3C28EF862F87}" sibTransId="{4F02024E-153E-4ACA-A868-E7436369EFBC}"/>
    <dgm:cxn modelId="{5D716868-0B20-4D5D-B973-2DCDAD0D2516}" type="presOf" srcId="{0D444401-F3BC-4256-9517-F6E6C07CAFD3}" destId="{652CA0FF-39B6-40C0-8783-F4D44A3C3D8D}" srcOrd="0" destOrd="0" presId="urn:microsoft.com/office/officeart/2005/8/layout/venn3"/>
    <dgm:cxn modelId="{3E5613B5-A381-4053-8EEF-AB1BB9F08C9A}" type="presOf" srcId="{095CA684-91AF-4C7B-B4CE-C9261145648D}" destId="{96867560-B44E-4728-8703-0B4311783A93}" srcOrd="0" destOrd="0" presId="urn:microsoft.com/office/officeart/2005/8/layout/venn3"/>
    <dgm:cxn modelId="{D03C810C-6AE6-4D6A-99C1-D4DEA929B8F4}" type="presParOf" srcId="{97364A17-666C-45E6-86BC-94B27084D497}" destId="{45B47E59-D2B6-4C64-B43B-DB84D2EEA775}" srcOrd="0" destOrd="0" presId="urn:microsoft.com/office/officeart/2005/8/layout/venn3"/>
    <dgm:cxn modelId="{19FD00D6-DB07-48BF-A034-9ECA57E3F79F}" type="presParOf" srcId="{97364A17-666C-45E6-86BC-94B27084D497}" destId="{EC06C693-FD3F-4932-89AF-96A21C65C1F8}" srcOrd="1" destOrd="0" presId="urn:microsoft.com/office/officeart/2005/8/layout/venn3"/>
    <dgm:cxn modelId="{584CC2A0-BB3C-4D4B-BEC1-47B909960DFE}" type="presParOf" srcId="{97364A17-666C-45E6-86BC-94B27084D497}" destId="{652CA0FF-39B6-40C0-8783-F4D44A3C3D8D}" srcOrd="2" destOrd="0" presId="urn:microsoft.com/office/officeart/2005/8/layout/venn3"/>
    <dgm:cxn modelId="{08E6C4A2-875C-40F9-B02C-8679063DEA01}" type="presParOf" srcId="{97364A17-666C-45E6-86BC-94B27084D497}" destId="{97CC77AE-5D86-428B-BF19-189161291B7A}" srcOrd="3" destOrd="0" presId="urn:microsoft.com/office/officeart/2005/8/layout/venn3"/>
    <dgm:cxn modelId="{D841CB43-A7DF-4698-879D-0F8841EF828F}" type="presParOf" srcId="{97364A17-666C-45E6-86BC-94B27084D497}" destId="{E1E1C47F-DAF6-427A-BD04-3A5663EC6C36}" srcOrd="4" destOrd="0" presId="urn:microsoft.com/office/officeart/2005/8/layout/venn3"/>
    <dgm:cxn modelId="{618D1A55-AD2C-48D5-B09C-4704E65792E2}" type="presParOf" srcId="{97364A17-666C-45E6-86BC-94B27084D497}" destId="{9B579158-8E86-43D7-AF3B-2206906BBD46}" srcOrd="5" destOrd="0" presId="urn:microsoft.com/office/officeart/2005/8/layout/venn3"/>
    <dgm:cxn modelId="{2B01A016-19B3-4B62-9C5F-FCC913AA8425}" type="presParOf" srcId="{97364A17-666C-45E6-86BC-94B27084D497}" destId="{96867560-B44E-4728-8703-0B4311783A93}" srcOrd="6" destOrd="0" presId="urn:microsoft.com/office/officeart/2005/8/layout/venn3"/>
    <dgm:cxn modelId="{29385717-670A-44E0-B1C3-A4F409EE1FE9}" type="presParOf" srcId="{97364A17-666C-45E6-86BC-94B27084D497}" destId="{AA6F1038-DE78-48B0-A72E-DF70E9E9ABF0}" srcOrd="7" destOrd="0" presId="urn:microsoft.com/office/officeart/2005/8/layout/venn3"/>
    <dgm:cxn modelId="{885AB91A-704B-4089-B38C-2B78A6E20B50}" type="presParOf" srcId="{97364A17-666C-45E6-86BC-94B27084D497}" destId="{63F0C20E-E722-42B4-A655-3B113C9BDDBC}" srcOrd="8" destOrd="0" presId="urn:microsoft.com/office/officeart/2005/8/layout/ven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12935F-914E-445B-8114-E05AFACBF6A1}" type="doc">
      <dgm:prSet loTypeId="urn:microsoft.com/office/officeart/2005/8/layout/pyramid4" loCatId="relationship" qsTypeId="urn:microsoft.com/office/officeart/2005/8/quickstyle/simple3" qsCatId="simple" csTypeId="urn:microsoft.com/office/officeart/2005/8/colors/colorful4" csCatId="colorful" phldr="1"/>
      <dgm:spPr/>
    </dgm:pt>
    <dgm:pt modelId="{8C2CEFE7-34D1-4F6B-887F-CD159520FB31}">
      <dgm:prSet phldrT="[Texto]"/>
      <dgm:spPr/>
      <dgm:t>
        <a:bodyPr/>
        <a:lstStyle/>
        <a:p>
          <a:r>
            <a:rPr lang="es-AR"/>
            <a:t>Nuevo método de enseñanza. </a:t>
          </a:r>
        </a:p>
      </dgm:t>
    </dgm:pt>
    <dgm:pt modelId="{E3CCF1D8-4EE1-4810-9C85-D7186B0772D3}" type="parTrans" cxnId="{082E7B57-A879-4C11-BFDC-1FB68A0EDB97}">
      <dgm:prSet/>
      <dgm:spPr/>
      <dgm:t>
        <a:bodyPr/>
        <a:lstStyle/>
        <a:p>
          <a:endParaRPr lang="es-AR"/>
        </a:p>
      </dgm:t>
    </dgm:pt>
    <dgm:pt modelId="{520274F7-3C20-4EE9-AC3E-0F7D3544AEF4}" type="sibTrans" cxnId="{082E7B57-A879-4C11-BFDC-1FB68A0EDB97}">
      <dgm:prSet/>
      <dgm:spPr/>
      <dgm:t>
        <a:bodyPr/>
        <a:lstStyle/>
        <a:p>
          <a:endParaRPr lang="es-AR"/>
        </a:p>
      </dgm:t>
    </dgm:pt>
    <dgm:pt modelId="{27DD7C5E-7781-4621-A0A7-EE16B6FFFB89}">
      <dgm:prSet phldrT="[Texto]"/>
      <dgm:spPr/>
      <dgm:t>
        <a:bodyPr/>
        <a:lstStyle/>
        <a:p>
          <a:r>
            <a:rPr lang="es-AR"/>
            <a:t>Acceso a las TIC'S.</a:t>
          </a:r>
        </a:p>
      </dgm:t>
    </dgm:pt>
    <dgm:pt modelId="{CEA614C7-68FF-4655-AF3B-FC881A526B84}" type="parTrans" cxnId="{A1753664-4245-4376-ACAC-C66FB790DC87}">
      <dgm:prSet/>
      <dgm:spPr/>
      <dgm:t>
        <a:bodyPr/>
        <a:lstStyle/>
        <a:p>
          <a:endParaRPr lang="es-AR"/>
        </a:p>
      </dgm:t>
    </dgm:pt>
    <dgm:pt modelId="{7AA5E46C-19AB-4FD7-AA64-74DDD8ADE826}" type="sibTrans" cxnId="{A1753664-4245-4376-ACAC-C66FB790DC87}">
      <dgm:prSet/>
      <dgm:spPr/>
      <dgm:t>
        <a:bodyPr/>
        <a:lstStyle/>
        <a:p>
          <a:endParaRPr lang="es-AR"/>
        </a:p>
      </dgm:t>
    </dgm:pt>
    <dgm:pt modelId="{25824FDE-11E5-4161-80DD-9042D4B5A4C2}">
      <dgm:prSet phldrT="[Texto]"/>
      <dgm:spPr/>
      <dgm:t>
        <a:bodyPr/>
        <a:lstStyle/>
        <a:p>
          <a:r>
            <a:rPr lang="es-AR"/>
            <a:t>Contacto físico. </a:t>
          </a:r>
        </a:p>
      </dgm:t>
    </dgm:pt>
    <dgm:pt modelId="{423A8035-4E0C-41AC-AB00-C22498309478}" type="parTrans" cxnId="{E11EC0C6-2A6B-4282-AFD3-60B37249CC94}">
      <dgm:prSet/>
      <dgm:spPr/>
      <dgm:t>
        <a:bodyPr/>
        <a:lstStyle/>
        <a:p>
          <a:endParaRPr lang="es-AR"/>
        </a:p>
      </dgm:t>
    </dgm:pt>
    <dgm:pt modelId="{CD25031B-ECE9-4DBE-BD03-7CA922DCA591}" type="sibTrans" cxnId="{E11EC0C6-2A6B-4282-AFD3-60B37249CC94}">
      <dgm:prSet/>
      <dgm:spPr/>
      <dgm:t>
        <a:bodyPr/>
        <a:lstStyle/>
        <a:p>
          <a:endParaRPr lang="es-AR"/>
        </a:p>
      </dgm:t>
    </dgm:pt>
    <dgm:pt modelId="{844C0BCE-C40E-4CA2-843E-9491973BDE8A}">
      <dgm:prSet phldrT="[Texto]"/>
      <dgm:spPr/>
      <dgm:t>
        <a:bodyPr/>
        <a:lstStyle/>
        <a:p>
          <a:r>
            <a:rPr lang="es-AR"/>
            <a:t>Plataformas digitales.</a:t>
          </a:r>
        </a:p>
      </dgm:t>
    </dgm:pt>
    <dgm:pt modelId="{150090FD-E8B8-44BF-BA0D-6A7DF19B818F}" type="parTrans" cxnId="{E4B0C63B-6DA1-49F1-8708-1F82CD236059}">
      <dgm:prSet/>
      <dgm:spPr/>
      <dgm:t>
        <a:bodyPr/>
        <a:lstStyle/>
        <a:p>
          <a:endParaRPr lang="es-AR"/>
        </a:p>
      </dgm:t>
    </dgm:pt>
    <dgm:pt modelId="{01AB86D0-C83B-49A4-A82E-C5656A574CB6}" type="sibTrans" cxnId="{E4B0C63B-6DA1-49F1-8708-1F82CD236059}">
      <dgm:prSet/>
      <dgm:spPr/>
      <dgm:t>
        <a:bodyPr/>
        <a:lstStyle/>
        <a:p>
          <a:endParaRPr lang="es-AR"/>
        </a:p>
      </dgm:t>
    </dgm:pt>
    <dgm:pt modelId="{97C75DD7-AFB0-4E1E-A4FD-17C38B920CDF}">
      <dgm:prSet phldrT="[Texto]"/>
      <dgm:spPr/>
      <dgm:t>
        <a:bodyPr/>
        <a:lstStyle/>
        <a:p>
          <a:r>
            <a:rPr lang="es-AR"/>
            <a:t>Calidad de la eduación. </a:t>
          </a:r>
        </a:p>
      </dgm:t>
    </dgm:pt>
    <dgm:pt modelId="{A746D172-943D-4BF9-A6C1-3D1F1628FF0E}" type="parTrans" cxnId="{44746295-246B-4693-B0DE-103763DD001E}">
      <dgm:prSet/>
      <dgm:spPr/>
      <dgm:t>
        <a:bodyPr/>
        <a:lstStyle/>
        <a:p>
          <a:endParaRPr lang="es-AR"/>
        </a:p>
      </dgm:t>
    </dgm:pt>
    <dgm:pt modelId="{DE016E00-7A27-49C3-9933-DF0C95AC60ED}" type="sibTrans" cxnId="{44746295-246B-4693-B0DE-103763DD001E}">
      <dgm:prSet/>
      <dgm:spPr/>
      <dgm:t>
        <a:bodyPr/>
        <a:lstStyle/>
        <a:p>
          <a:endParaRPr lang="es-AR"/>
        </a:p>
      </dgm:t>
    </dgm:pt>
    <dgm:pt modelId="{7F378672-EA61-4D37-9CAC-87D8357D2C97}">
      <dgm:prSet phldrT="[Texto]"/>
      <dgm:spPr/>
      <dgm:t>
        <a:bodyPr/>
        <a:lstStyle/>
        <a:p>
          <a:r>
            <a:rPr lang="es-AR"/>
            <a:t>Carga excesiva de trabajos. </a:t>
          </a:r>
        </a:p>
      </dgm:t>
    </dgm:pt>
    <dgm:pt modelId="{006BA6EC-04D8-48EC-BD01-BFBB37C90D3E}" type="parTrans" cxnId="{B36D839E-0C6E-461B-82E4-099CA4916F7C}">
      <dgm:prSet/>
      <dgm:spPr/>
      <dgm:t>
        <a:bodyPr/>
        <a:lstStyle/>
        <a:p>
          <a:endParaRPr lang="es-AR"/>
        </a:p>
      </dgm:t>
    </dgm:pt>
    <dgm:pt modelId="{653D5FF9-55E0-49F7-BE8B-C74A0D7716C2}" type="sibTrans" cxnId="{B36D839E-0C6E-461B-82E4-099CA4916F7C}">
      <dgm:prSet/>
      <dgm:spPr/>
      <dgm:t>
        <a:bodyPr/>
        <a:lstStyle/>
        <a:p>
          <a:endParaRPr lang="es-AR"/>
        </a:p>
      </dgm:t>
    </dgm:pt>
    <dgm:pt modelId="{5D2A6C47-D901-4891-9C49-DDBAED814851}">
      <dgm:prSet phldrT="[Texto]"/>
      <dgm:spPr/>
      <dgm:t>
        <a:bodyPr/>
        <a:lstStyle/>
        <a:p>
          <a:r>
            <a:rPr lang="es-AR"/>
            <a:t>Estrés.</a:t>
          </a:r>
        </a:p>
      </dgm:t>
    </dgm:pt>
    <dgm:pt modelId="{22D618D3-0DE7-44F5-9D1C-472001920858}" type="parTrans" cxnId="{472DD560-616C-4C9C-AAD7-8770C7893EC1}">
      <dgm:prSet/>
      <dgm:spPr/>
      <dgm:t>
        <a:bodyPr/>
        <a:lstStyle/>
        <a:p>
          <a:endParaRPr lang="es-AR"/>
        </a:p>
      </dgm:t>
    </dgm:pt>
    <dgm:pt modelId="{DE89D066-6B79-4192-8624-717D17A49BA6}" type="sibTrans" cxnId="{472DD560-616C-4C9C-AAD7-8770C7893EC1}">
      <dgm:prSet/>
      <dgm:spPr/>
      <dgm:t>
        <a:bodyPr/>
        <a:lstStyle/>
        <a:p>
          <a:endParaRPr lang="es-AR"/>
        </a:p>
      </dgm:t>
    </dgm:pt>
    <dgm:pt modelId="{FC2B478E-B1B5-4ED2-A15E-168D33C25BFE}">
      <dgm:prSet phldrT="[Texto]"/>
      <dgm:spPr/>
      <dgm:t>
        <a:bodyPr/>
        <a:lstStyle/>
        <a:p>
          <a:r>
            <a:rPr lang="es-AR"/>
            <a:t>Rezago educativo.</a:t>
          </a:r>
        </a:p>
      </dgm:t>
    </dgm:pt>
    <dgm:pt modelId="{06961AFD-D113-42AC-980D-8C456766DE6F}" type="parTrans" cxnId="{1D24036C-1CFF-4EB8-8A0D-E14E3BAAC85C}">
      <dgm:prSet/>
      <dgm:spPr/>
      <dgm:t>
        <a:bodyPr/>
        <a:lstStyle/>
        <a:p>
          <a:endParaRPr lang="es-AR"/>
        </a:p>
      </dgm:t>
    </dgm:pt>
    <dgm:pt modelId="{A8A644A9-7DD5-4A1C-9A81-46191769464E}" type="sibTrans" cxnId="{1D24036C-1CFF-4EB8-8A0D-E14E3BAAC85C}">
      <dgm:prSet/>
      <dgm:spPr/>
      <dgm:t>
        <a:bodyPr/>
        <a:lstStyle/>
        <a:p>
          <a:endParaRPr lang="es-AR"/>
        </a:p>
      </dgm:t>
    </dgm:pt>
    <dgm:pt modelId="{A8CE33F6-802A-41B4-9D5C-03944A7104CC}">
      <dgm:prSet phldrT="[Texto]"/>
      <dgm:spPr/>
      <dgm:t>
        <a:bodyPr/>
        <a:lstStyle/>
        <a:p>
          <a:r>
            <a:rPr lang="es-AR"/>
            <a:t>Acceso igualitario a la educación.</a:t>
          </a:r>
        </a:p>
      </dgm:t>
    </dgm:pt>
    <dgm:pt modelId="{BF80D17C-2998-4660-B0A5-65884CF27BD3}" type="parTrans" cxnId="{87013C10-33FE-45E3-A79B-5A99439301E5}">
      <dgm:prSet/>
      <dgm:spPr/>
      <dgm:t>
        <a:bodyPr/>
        <a:lstStyle/>
        <a:p>
          <a:endParaRPr lang="es-AR"/>
        </a:p>
      </dgm:t>
    </dgm:pt>
    <dgm:pt modelId="{BAD539DB-0098-4C47-B730-D69E3463919B}" type="sibTrans" cxnId="{87013C10-33FE-45E3-A79B-5A99439301E5}">
      <dgm:prSet/>
      <dgm:spPr/>
      <dgm:t>
        <a:bodyPr/>
        <a:lstStyle/>
        <a:p>
          <a:endParaRPr lang="es-AR"/>
        </a:p>
      </dgm:t>
    </dgm:pt>
    <dgm:pt modelId="{04E5EBE8-0507-4552-87B3-7F3E37213C3E}" type="pres">
      <dgm:prSet presAssocID="{A312935F-914E-445B-8114-E05AFACBF6A1}" presName="compositeShape" presStyleCnt="0">
        <dgm:presLayoutVars>
          <dgm:chMax val="9"/>
          <dgm:dir/>
          <dgm:resizeHandles val="exact"/>
        </dgm:presLayoutVars>
      </dgm:prSet>
      <dgm:spPr/>
    </dgm:pt>
    <dgm:pt modelId="{66FADAC4-5156-4602-A93A-CAA00AB9CBA6}" type="pres">
      <dgm:prSet presAssocID="{A312935F-914E-445B-8114-E05AFACBF6A1}" presName="triangle1" presStyleLbl="node1" presStyleIdx="0" presStyleCnt="9">
        <dgm:presLayoutVars>
          <dgm:bulletEnabled val="1"/>
        </dgm:presLayoutVars>
      </dgm:prSet>
      <dgm:spPr/>
      <dgm:t>
        <a:bodyPr/>
        <a:lstStyle/>
        <a:p>
          <a:endParaRPr lang="es-MX"/>
        </a:p>
      </dgm:t>
    </dgm:pt>
    <dgm:pt modelId="{D0013C7A-B101-46D3-9272-DADAE9FA0D00}" type="pres">
      <dgm:prSet presAssocID="{A312935F-914E-445B-8114-E05AFACBF6A1}" presName="triangle2" presStyleLbl="node1" presStyleIdx="1" presStyleCnt="9">
        <dgm:presLayoutVars>
          <dgm:bulletEnabled val="1"/>
        </dgm:presLayoutVars>
      </dgm:prSet>
      <dgm:spPr/>
      <dgm:t>
        <a:bodyPr/>
        <a:lstStyle/>
        <a:p>
          <a:endParaRPr lang="es-MX"/>
        </a:p>
      </dgm:t>
    </dgm:pt>
    <dgm:pt modelId="{BBC7FF26-8B95-40B1-A26C-5D053493745B}" type="pres">
      <dgm:prSet presAssocID="{A312935F-914E-445B-8114-E05AFACBF6A1}" presName="triangle3" presStyleLbl="node1" presStyleIdx="2" presStyleCnt="9">
        <dgm:presLayoutVars>
          <dgm:bulletEnabled val="1"/>
        </dgm:presLayoutVars>
      </dgm:prSet>
      <dgm:spPr/>
      <dgm:t>
        <a:bodyPr/>
        <a:lstStyle/>
        <a:p>
          <a:endParaRPr lang="es-MX"/>
        </a:p>
      </dgm:t>
    </dgm:pt>
    <dgm:pt modelId="{6521CA11-F4F6-41F8-8758-7DA2CE269218}" type="pres">
      <dgm:prSet presAssocID="{A312935F-914E-445B-8114-E05AFACBF6A1}" presName="triangle4" presStyleLbl="node1" presStyleIdx="3" presStyleCnt="9">
        <dgm:presLayoutVars>
          <dgm:bulletEnabled val="1"/>
        </dgm:presLayoutVars>
      </dgm:prSet>
      <dgm:spPr/>
      <dgm:t>
        <a:bodyPr/>
        <a:lstStyle/>
        <a:p>
          <a:endParaRPr lang="es-MX"/>
        </a:p>
      </dgm:t>
    </dgm:pt>
    <dgm:pt modelId="{59F41618-F55D-4E59-8903-2058B84FD415}" type="pres">
      <dgm:prSet presAssocID="{A312935F-914E-445B-8114-E05AFACBF6A1}" presName="triangle5" presStyleLbl="node1" presStyleIdx="4" presStyleCnt="9">
        <dgm:presLayoutVars>
          <dgm:bulletEnabled val="1"/>
        </dgm:presLayoutVars>
      </dgm:prSet>
      <dgm:spPr/>
      <dgm:t>
        <a:bodyPr/>
        <a:lstStyle/>
        <a:p>
          <a:endParaRPr lang="es-MX"/>
        </a:p>
      </dgm:t>
    </dgm:pt>
    <dgm:pt modelId="{D27103D7-BFCA-445F-8AF1-B7B4A81C9F39}" type="pres">
      <dgm:prSet presAssocID="{A312935F-914E-445B-8114-E05AFACBF6A1}" presName="triangle6" presStyleLbl="node1" presStyleIdx="5" presStyleCnt="9">
        <dgm:presLayoutVars>
          <dgm:bulletEnabled val="1"/>
        </dgm:presLayoutVars>
      </dgm:prSet>
      <dgm:spPr/>
      <dgm:t>
        <a:bodyPr/>
        <a:lstStyle/>
        <a:p>
          <a:endParaRPr lang="es-MX"/>
        </a:p>
      </dgm:t>
    </dgm:pt>
    <dgm:pt modelId="{CED8B7A4-B5A4-4682-ADFC-B0295D7454C9}" type="pres">
      <dgm:prSet presAssocID="{A312935F-914E-445B-8114-E05AFACBF6A1}" presName="triangle7" presStyleLbl="node1" presStyleIdx="6" presStyleCnt="9">
        <dgm:presLayoutVars>
          <dgm:bulletEnabled val="1"/>
        </dgm:presLayoutVars>
      </dgm:prSet>
      <dgm:spPr/>
      <dgm:t>
        <a:bodyPr/>
        <a:lstStyle/>
        <a:p>
          <a:endParaRPr lang="es-MX"/>
        </a:p>
      </dgm:t>
    </dgm:pt>
    <dgm:pt modelId="{E3A6D613-2D6B-43D7-8CDC-E5A5B942968C}" type="pres">
      <dgm:prSet presAssocID="{A312935F-914E-445B-8114-E05AFACBF6A1}" presName="triangle8" presStyleLbl="node1" presStyleIdx="7" presStyleCnt="9">
        <dgm:presLayoutVars>
          <dgm:bulletEnabled val="1"/>
        </dgm:presLayoutVars>
      </dgm:prSet>
      <dgm:spPr/>
      <dgm:t>
        <a:bodyPr/>
        <a:lstStyle/>
        <a:p>
          <a:endParaRPr lang="es-MX"/>
        </a:p>
      </dgm:t>
    </dgm:pt>
    <dgm:pt modelId="{969897B5-1BA5-4995-AFC0-139C7B74CE05}" type="pres">
      <dgm:prSet presAssocID="{A312935F-914E-445B-8114-E05AFACBF6A1}" presName="triangle9" presStyleLbl="node1" presStyleIdx="8" presStyleCnt="9">
        <dgm:presLayoutVars>
          <dgm:bulletEnabled val="1"/>
        </dgm:presLayoutVars>
      </dgm:prSet>
      <dgm:spPr/>
      <dgm:t>
        <a:bodyPr/>
        <a:lstStyle/>
        <a:p>
          <a:endParaRPr lang="es-MX"/>
        </a:p>
      </dgm:t>
    </dgm:pt>
  </dgm:ptLst>
  <dgm:cxnLst>
    <dgm:cxn modelId="{44746295-246B-4693-B0DE-103763DD001E}" srcId="{A312935F-914E-445B-8114-E05AFACBF6A1}" destId="{97C75DD7-AFB0-4E1E-A4FD-17C38B920CDF}" srcOrd="3" destOrd="0" parTransId="{A746D172-943D-4BF9-A6C1-3D1F1628FF0E}" sibTransId="{DE016E00-7A27-49C3-9933-DF0C95AC60ED}"/>
    <dgm:cxn modelId="{FBB9CDDB-5A94-47AF-B183-41E0A3833E81}" type="presOf" srcId="{25824FDE-11E5-4161-80DD-9042D4B5A4C2}" destId="{D27103D7-BFCA-445F-8AF1-B7B4A81C9F39}" srcOrd="0" destOrd="0" presId="urn:microsoft.com/office/officeart/2005/8/layout/pyramid4"/>
    <dgm:cxn modelId="{082E7B57-A879-4C11-BFDC-1FB68A0EDB97}" srcId="{A312935F-914E-445B-8114-E05AFACBF6A1}" destId="{8C2CEFE7-34D1-4F6B-887F-CD159520FB31}" srcOrd="0" destOrd="0" parTransId="{E3CCF1D8-4EE1-4810-9C85-D7186B0772D3}" sibTransId="{520274F7-3C20-4EE9-AC3E-0F7D3544AEF4}"/>
    <dgm:cxn modelId="{E4B0C63B-6DA1-49F1-8708-1F82CD236059}" srcId="{A312935F-914E-445B-8114-E05AFACBF6A1}" destId="{844C0BCE-C40E-4CA2-843E-9491973BDE8A}" srcOrd="1" destOrd="0" parTransId="{150090FD-E8B8-44BF-BA0D-6A7DF19B818F}" sibTransId="{01AB86D0-C83B-49A4-A82E-C5656A574CB6}"/>
    <dgm:cxn modelId="{F6EFB4B4-1CDB-4E98-A04C-5D88E363FA46}" type="presOf" srcId="{844C0BCE-C40E-4CA2-843E-9491973BDE8A}" destId="{D0013C7A-B101-46D3-9272-DADAE9FA0D00}" srcOrd="0" destOrd="0" presId="urn:microsoft.com/office/officeart/2005/8/layout/pyramid4"/>
    <dgm:cxn modelId="{472DD560-616C-4C9C-AAD7-8770C7893EC1}" srcId="{A312935F-914E-445B-8114-E05AFACBF6A1}" destId="{5D2A6C47-D901-4891-9C49-DDBAED814851}" srcOrd="6" destOrd="0" parTransId="{22D618D3-0DE7-44F5-9D1C-472001920858}" sibTransId="{DE89D066-6B79-4192-8624-717D17A49BA6}"/>
    <dgm:cxn modelId="{1D24036C-1CFF-4EB8-8A0D-E14E3BAAC85C}" srcId="{A312935F-914E-445B-8114-E05AFACBF6A1}" destId="{FC2B478E-B1B5-4ED2-A15E-168D33C25BFE}" srcOrd="7" destOrd="0" parTransId="{06961AFD-D113-42AC-980D-8C456766DE6F}" sibTransId="{A8A644A9-7DD5-4A1C-9A81-46191769464E}"/>
    <dgm:cxn modelId="{B8C81683-14AA-4336-B3BB-2BA226466250}" type="presOf" srcId="{A312935F-914E-445B-8114-E05AFACBF6A1}" destId="{04E5EBE8-0507-4552-87B3-7F3E37213C3E}" srcOrd="0" destOrd="0" presId="urn:microsoft.com/office/officeart/2005/8/layout/pyramid4"/>
    <dgm:cxn modelId="{B36D839E-0C6E-461B-82E4-099CA4916F7C}" srcId="{A312935F-914E-445B-8114-E05AFACBF6A1}" destId="{7F378672-EA61-4D37-9CAC-87D8357D2C97}" srcOrd="4" destOrd="0" parTransId="{006BA6EC-04D8-48EC-BD01-BFBB37C90D3E}" sibTransId="{653D5FF9-55E0-49F7-BE8B-C74A0D7716C2}"/>
    <dgm:cxn modelId="{A756F85B-FD00-4A3B-8C3C-0C3FDB7F09B0}" type="presOf" srcId="{97C75DD7-AFB0-4E1E-A4FD-17C38B920CDF}" destId="{6521CA11-F4F6-41F8-8758-7DA2CE269218}" srcOrd="0" destOrd="0" presId="urn:microsoft.com/office/officeart/2005/8/layout/pyramid4"/>
    <dgm:cxn modelId="{51C8460B-D259-4481-B3C1-6995D6F8D0AC}" type="presOf" srcId="{A8CE33F6-802A-41B4-9D5C-03944A7104CC}" destId="{969897B5-1BA5-4995-AFC0-139C7B74CE05}" srcOrd="0" destOrd="0" presId="urn:microsoft.com/office/officeart/2005/8/layout/pyramid4"/>
    <dgm:cxn modelId="{87013C10-33FE-45E3-A79B-5A99439301E5}" srcId="{A312935F-914E-445B-8114-E05AFACBF6A1}" destId="{A8CE33F6-802A-41B4-9D5C-03944A7104CC}" srcOrd="8" destOrd="0" parTransId="{BF80D17C-2998-4660-B0A5-65884CF27BD3}" sibTransId="{BAD539DB-0098-4C47-B730-D69E3463919B}"/>
    <dgm:cxn modelId="{A96883BE-AE6F-4F23-8454-FDCA7674711D}" type="presOf" srcId="{27DD7C5E-7781-4621-A0A7-EE16B6FFFB89}" destId="{BBC7FF26-8B95-40B1-A26C-5D053493745B}" srcOrd="0" destOrd="0" presId="urn:microsoft.com/office/officeart/2005/8/layout/pyramid4"/>
    <dgm:cxn modelId="{E11EC0C6-2A6B-4282-AFD3-60B37249CC94}" srcId="{A312935F-914E-445B-8114-E05AFACBF6A1}" destId="{25824FDE-11E5-4161-80DD-9042D4B5A4C2}" srcOrd="5" destOrd="0" parTransId="{423A8035-4E0C-41AC-AB00-C22498309478}" sibTransId="{CD25031B-ECE9-4DBE-BD03-7CA922DCA591}"/>
    <dgm:cxn modelId="{9185A3D0-8E33-434E-8E2D-90804022D915}" type="presOf" srcId="{7F378672-EA61-4D37-9CAC-87D8357D2C97}" destId="{59F41618-F55D-4E59-8903-2058B84FD415}" srcOrd="0" destOrd="0" presId="urn:microsoft.com/office/officeart/2005/8/layout/pyramid4"/>
    <dgm:cxn modelId="{A1753664-4245-4376-ACAC-C66FB790DC87}" srcId="{A312935F-914E-445B-8114-E05AFACBF6A1}" destId="{27DD7C5E-7781-4621-A0A7-EE16B6FFFB89}" srcOrd="2" destOrd="0" parTransId="{CEA614C7-68FF-4655-AF3B-FC881A526B84}" sibTransId="{7AA5E46C-19AB-4FD7-AA64-74DDD8ADE826}"/>
    <dgm:cxn modelId="{6475C298-3252-43B6-A5DC-9A9E83C3B2DB}" type="presOf" srcId="{8C2CEFE7-34D1-4F6B-887F-CD159520FB31}" destId="{66FADAC4-5156-4602-A93A-CAA00AB9CBA6}" srcOrd="0" destOrd="0" presId="urn:microsoft.com/office/officeart/2005/8/layout/pyramid4"/>
    <dgm:cxn modelId="{65BBF348-444E-489D-BB5F-14CFB4C67863}" type="presOf" srcId="{5D2A6C47-D901-4891-9C49-DDBAED814851}" destId="{CED8B7A4-B5A4-4682-ADFC-B0295D7454C9}" srcOrd="0" destOrd="0" presId="urn:microsoft.com/office/officeart/2005/8/layout/pyramid4"/>
    <dgm:cxn modelId="{0A4EC7FB-195B-4A60-8CEC-6EC94F6335BA}" type="presOf" srcId="{FC2B478E-B1B5-4ED2-A15E-168D33C25BFE}" destId="{E3A6D613-2D6B-43D7-8CDC-E5A5B942968C}" srcOrd="0" destOrd="0" presId="urn:microsoft.com/office/officeart/2005/8/layout/pyramid4"/>
    <dgm:cxn modelId="{91D7D19B-4018-495B-B77B-D885E128AF1B}" type="presParOf" srcId="{04E5EBE8-0507-4552-87B3-7F3E37213C3E}" destId="{66FADAC4-5156-4602-A93A-CAA00AB9CBA6}" srcOrd="0" destOrd="0" presId="urn:microsoft.com/office/officeart/2005/8/layout/pyramid4"/>
    <dgm:cxn modelId="{BBFD2670-0E6E-4E01-91AE-387128CDE554}" type="presParOf" srcId="{04E5EBE8-0507-4552-87B3-7F3E37213C3E}" destId="{D0013C7A-B101-46D3-9272-DADAE9FA0D00}" srcOrd="1" destOrd="0" presId="urn:microsoft.com/office/officeart/2005/8/layout/pyramid4"/>
    <dgm:cxn modelId="{A3128271-1880-4239-992A-77CD3618C5A3}" type="presParOf" srcId="{04E5EBE8-0507-4552-87B3-7F3E37213C3E}" destId="{BBC7FF26-8B95-40B1-A26C-5D053493745B}" srcOrd="2" destOrd="0" presId="urn:microsoft.com/office/officeart/2005/8/layout/pyramid4"/>
    <dgm:cxn modelId="{B6C37645-140D-4D61-8D62-0A02776DE4CF}" type="presParOf" srcId="{04E5EBE8-0507-4552-87B3-7F3E37213C3E}" destId="{6521CA11-F4F6-41F8-8758-7DA2CE269218}" srcOrd="3" destOrd="0" presId="urn:microsoft.com/office/officeart/2005/8/layout/pyramid4"/>
    <dgm:cxn modelId="{FE3411E5-272C-4232-B744-25CE00208298}" type="presParOf" srcId="{04E5EBE8-0507-4552-87B3-7F3E37213C3E}" destId="{59F41618-F55D-4E59-8903-2058B84FD415}" srcOrd="4" destOrd="0" presId="urn:microsoft.com/office/officeart/2005/8/layout/pyramid4"/>
    <dgm:cxn modelId="{48327875-5ACF-4376-8D4F-4380156275B6}" type="presParOf" srcId="{04E5EBE8-0507-4552-87B3-7F3E37213C3E}" destId="{D27103D7-BFCA-445F-8AF1-B7B4A81C9F39}" srcOrd="5" destOrd="0" presId="urn:microsoft.com/office/officeart/2005/8/layout/pyramid4"/>
    <dgm:cxn modelId="{5C832A5B-9F5F-40B7-9D0A-A280A132C3F1}" type="presParOf" srcId="{04E5EBE8-0507-4552-87B3-7F3E37213C3E}" destId="{CED8B7A4-B5A4-4682-ADFC-B0295D7454C9}" srcOrd="6" destOrd="0" presId="urn:microsoft.com/office/officeart/2005/8/layout/pyramid4"/>
    <dgm:cxn modelId="{13C3760B-0B75-4C72-A961-C1FB1F7D39B9}" type="presParOf" srcId="{04E5EBE8-0507-4552-87B3-7F3E37213C3E}" destId="{E3A6D613-2D6B-43D7-8CDC-E5A5B942968C}" srcOrd="7" destOrd="0" presId="urn:microsoft.com/office/officeart/2005/8/layout/pyramid4"/>
    <dgm:cxn modelId="{3AB446BD-44DD-4A2E-933A-9513A85A2CAA}" type="presParOf" srcId="{04E5EBE8-0507-4552-87B3-7F3E37213C3E}" destId="{969897B5-1BA5-4995-AFC0-139C7B74CE05}" srcOrd="8" destOrd="0" presId="urn:microsoft.com/office/officeart/2005/8/layout/pyramid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7E7E47-57FB-470B-9E5C-D19FE62A2DC3}" type="doc">
      <dgm:prSet loTypeId="urn:microsoft.com/office/officeart/2005/8/layout/list1" loCatId="list" qsTypeId="urn:microsoft.com/office/officeart/2005/8/quickstyle/simple3" qsCatId="simple" csTypeId="urn:microsoft.com/office/officeart/2005/8/colors/accent3_2" csCatId="accent3" phldr="1"/>
      <dgm:spPr/>
      <dgm:t>
        <a:bodyPr/>
        <a:lstStyle/>
        <a:p>
          <a:endParaRPr lang="es-AR"/>
        </a:p>
      </dgm:t>
    </dgm:pt>
    <dgm:pt modelId="{B7BD176D-6F5B-43F7-9817-BCFAFAAC9415}">
      <dgm:prSet phldrT="[Texto]" custT="1"/>
      <dgm:spPr/>
      <dgm:t>
        <a:bodyPr/>
        <a:lstStyle/>
        <a:p>
          <a:r>
            <a:rPr lang="es-AR" sz="900">
              <a:latin typeface="Arial" panose="020B0604020202020204" pitchFamily="34" charset="0"/>
              <a:cs typeface="Arial" panose="020B0604020202020204" pitchFamily="34" charset="0"/>
            </a:rPr>
            <a:t>Impulsar la creatividad y el emprendimiento.</a:t>
          </a:r>
        </a:p>
      </dgm:t>
    </dgm:pt>
    <dgm:pt modelId="{732FCA87-79D1-43E2-AB0B-43D638BE2325}" type="parTrans" cxnId="{9B85A4D4-0444-4711-9DDF-FB2CBE5CF676}">
      <dgm:prSet/>
      <dgm:spPr/>
      <dgm:t>
        <a:bodyPr/>
        <a:lstStyle/>
        <a:p>
          <a:endParaRPr lang="es-AR"/>
        </a:p>
      </dgm:t>
    </dgm:pt>
    <dgm:pt modelId="{517A8D19-1CA6-45A0-A8AF-E9E7D4E4EE07}" type="sibTrans" cxnId="{9B85A4D4-0444-4711-9DDF-FB2CBE5CF676}">
      <dgm:prSet/>
      <dgm:spPr/>
      <dgm:t>
        <a:bodyPr/>
        <a:lstStyle/>
        <a:p>
          <a:endParaRPr lang="es-AR"/>
        </a:p>
      </dgm:t>
    </dgm:pt>
    <dgm:pt modelId="{3BFA2AB2-DC79-4C94-B119-70EFAAC36AF1}">
      <dgm:prSet phldrT="[Texto]" custT="1"/>
      <dgm:spPr/>
      <dgm:t>
        <a:bodyPr/>
        <a:lstStyle/>
        <a:p>
          <a:r>
            <a:rPr lang="es-AR" sz="900">
              <a:latin typeface="Arial" panose="020B0604020202020204" pitchFamily="34" charset="0"/>
              <a:cs typeface="Arial" panose="020B0604020202020204" pitchFamily="34" charset="0"/>
            </a:rPr>
            <a:t>Incrementar la empeabilidad de los egresados de educación media superior y superior. </a:t>
          </a:r>
        </a:p>
      </dgm:t>
    </dgm:pt>
    <dgm:pt modelId="{54E27ED2-1E32-42AF-A348-BE290507750C}" type="parTrans" cxnId="{8FC35A9B-B361-4017-ABC4-DDEB07E4B823}">
      <dgm:prSet/>
      <dgm:spPr/>
      <dgm:t>
        <a:bodyPr/>
        <a:lstStyle/>
        <a:p>
          <a:endParaRPr lang="es-AR"/>
        </a:p>
      </dgm:t>
    </dgm:pt>
    <dgm:pt modelId="{22FAB3C3-F503-4629-BEAF-540AFE81C0EA}" type="sibTrans" cxnId="{8FC35A9B-B361-4017-ABC4-DDEB07E4B823}">
      <dgm:prSet/>
      <dgm:spPr/>
      <dgm:t>
        <a:bodyPr/>
        <a:lstStyle/>
        <a:p>
          <a:endParaRPr lang="es-AR"/>
        </a:p>
      </dgm:t>
    </dgm:pt>
    <dgm:pt modelId="{4AA1FB8D-0A94-4AB7-87C6-71E29F7E79FE}">
      <dgm:prSet phldrT="[Texto]" custT="1"/>
      <dgm:spPr/>
      <dgm:t>
        <a:bodyPr/>
        <a:lstStyle/>
        <a:p>
          <a:r>
            <a:rPr lang="es-AR" sz="900">
              <a:latin typeface="Arial" panose="020B0604020202020204" pitchFamily="34" charset="0"/>
              <a:cs typeface="Arial" panose="020B0604020202020204" pitchFamily="34" charset="0"/>
            </a:rPr>
            <a:t>Certificaciones en idiomas.</a:t>
          </a:r>
        </a:p>
      </dgm:t>
    </dgm:pt>
    <dgm:pt modelId="{3AE65E61-03BB-456C-B893-4DC9F7487016}" type="parTrans" cxnId="{92B6E065-B76E-4BC6-AEAE-9503BD9A011C}">
      <dgm:prSet/>
      <dgm:spPr/>
      <dgm:t>
        <a:bodyPr/>
        <a:lstStyle/>
        <a:p>
          <a:endParaRPr lang="es-AR"/>
        </a:p>
      </dgm:t>
    </dgm:pt>
    <dgm:pt modelId="{F156A8A3-A04C-4C16-BA58-8FF11B035667}" type="sibTrans" cxnId="{92B6E065-B76E-4BC6-AEAE-9503BD9A011C}">
      <dgm:prSet/>
      <dgm:spPr/>
      <dgm:t>
        <a:bodyPr/>
        <a:lstStyle/>
        <a:p>
          <a:endParaRPr lang="es-AR"/>
        </a:p>
      </dgm:t>
    </dgm:pt>
    <dgm:pt modelId="{9276BEB7-F6FA-4D65-B2C8-13F4DA985FEF}">
      <dgm:prSet phldrT="[Texto]" custT="1"/>
      <dgm:spPr/>
      <dgm:t>
        <a:bodyPr/>
        <a:lstStyle/>
        <a:p>
          <a:r>
            <a:rPr lang="es-AR" sz="900">
              <a:latin typeface="Arial" panose="020B0604020202020204" pitchFamily="34" charset="0"/>
              <a:cs typeface="Arial" panose="020B0604020202020204" pitchFamily="34" charset="0"/>
            </a:rPr>
            <a:t>Planes y programas de calidad.</a:t>
          </a:r>
        </a:p>
      </dgm:t>
    </dgm:pt>
    <dgm:pt modelId="{0012C931-1F52-44FB-9C28-784F0E2D7184}" type="parTrans" cxnId="{5956BC6C-FB51-4D9C-8BE4-23F424441DD5}">
      <dgm:prSet/>
      <dgm:spPr/>
      <dgm:t>
        <a:bodyPr/>
        <a:lstStyle/>
        <a:p>
          <a:endParaRPr lang="es-AR"/>
        </a:p>
      </dgm:t>
    </dgm:pt>
    <dgm:pt modelId="{33330C6C-27BF-4C32-810B-EC9CDF0C94D7}" type="sibTrans" cxnId="{5956BC6C-FB51-4D9C-8BE4-23F424441DD5}">
      <dgm:prSet/>
      <dgm:spPr/>
      <dgm:t>
        <a:bodyPr/>
        <a:lstStyle/>
        <a:p>
          <a:endParaRPr lang="es-AR"/>
        </a:p>
      </dgm:t>
    </dgm:pt>
    <dgm:pt modelId="{3B50E7A5-7854-422B-B4C8-7703DF953D58}">
      <dgm:prSet phldrT="[Texto]" custT="1"/>
      <dgm:spPr/>
      <dgm:t>
        <a:bodyPr/>
        <a:lstStyle/>
        <a:p>
          <a:r>
            <a:rPr lang="es-AR" sz="900">
              <a:latin typeface="Arial" panose="020B0604020202020204" pitchFamily="34" charset="0"/>
              <a:cs typeface="Arial" panose="020B0604020202020204" pitchFamily="34" charset="0"/>
            </a:rPr>
            <a:t>Disminuir el rezago eduactivo.</a:t>
          </a:r>
        </a:p>
      </dgm:t>
    </dgm:pt>
    <dgm:pt modelId="{3D7A21EB-9DD5-43EA-9CAD-33ADBF38B66B}" type="parTrans" cxnId="{B28CFE87-D16D-457A-B395-2CED722E2B37}">
      <dgm:prSet/>
      <dgm:spPr/>
      <dgm:t>
        <a:bodyPr/>
        <a:lstStyle/>
        <a:p>
          <a:endParaRPr lang="es-AR"/>
        </a:p>
      </dgm:t>
    </dgm:pt>
    <dgm:pt modelId="{A2861F39-DA3A-44BB-8768-D4E359E801C3}" type="sibTrans" cxnId="{B28CFE87-D16D-457A-B395-2CED722E2B37}">
      <dgm:prSet/>
      <dgm:spPr/>
      <dgm:t>
        <a:bodyPr/>
        <a:lstStyle/>
        <a:p>
          <a:endParaRPr lang="es-AR"/>
        </a:p>
      </dgm:t>
    </dgm:pt>
    <dgm:pt modelId="{4276A3C0-33D0-4FBF-B3A0-31790D39BE38}">
      <dgm:prSet phldrT="[Texto]" custT="1"/>
      <dgm:spPr/>
      <dgm:t>
        <a:bodyPr/>
        <a:lstStyle/>
        <a:p>
          <a:r>
            <a:rPr lang="es-AR" sz="900">
              <a:latin typeface="Arial" panose="020B0604020202020204" pitchFamily="34" charset="0"/>
              <a:cs typeface="Arial" panose="020B0604020202020204" pitchFamily="34" charset="0"/>
            </a:rPr>
            <a:t>Infraestructura física educativa.</a:t>
          </a:r>
        </a:p>
      </dgm:t>
    </dgm:pt>
    <dgm:pt modelId="{3C65175B-6699-497A-A8CA-A5FF7FF7D277}" type="parTrans" cxnId="{CCBC3C33-4BB8-4204-B423-B486E0970155}">
      <dgm:prSet/>
      <dgm:spPr/>
      <dgm:t>
        <a:bodyPr/>
        <a:lstStyle/>
        <a:p>
          <a:endParaRPr lang="es-AR"/>
        </a:p>
      </dgm:t>
    </dgm:pt>
    <dgm:pt modelId="{792E1161-31F7-4772-B9ED-76E01EBD5748}" type="sibTrans" cxnId="{CCBC3C33-4BB8-4204-B423-B486E0970155}">
      <dgm:prSet/>
      <dgm:spPr/>
      <dgm:t>
        <a:bodyPr/>
        <a:lstStyle/>
        <a:p>
          <a:endParaRPr lang="es-AR"/>
        </a:p>
      </dgm:t>
    </dgm:pt>
    <dgm:pt modelId="{22D7F258-D16B-4259-B5BA-C9C0FE990769}">
      <dgm:prSet phldrT="[Texto]" custT="1"/>
      <dgm:spPr/>
      <dgm:t>
        <a:bodyPr/>
        <a:lstStyle/>
        <a:p>
          <a:r>
            <a:rPr lang="es-AR" sz="900">
              <a:latin typeface="Arial" panose="020B0604020202020204" pitchFamily="34" charset="0"/>
              <a:cs typeface="Arial" panose="020B0604020202020204" pitchFamily="34" charset="0"/>
            </a:rPr>
            <a:t>Aumentar el número de becas disponibles para los estudiantes.</a:t>
          </a:r>
        </a:p>
      </dgm:t>
    </dgm:pt>
    <dgm:pt modelId="{ACA9BDDC-CB7E-4039-AB18-D6A04D3E814A}" type="parTrans" cxnId="{0725E732-772D-4B41-82DF-28A53B6864DB}">
      <dgm:prSet/>
      <dgm:spPr/>
      <dgm:t>
        <a:bodyPr/>
        <a:lstStyle/>
        <a:p>
          <a:endParaRPr lang="es-AR"/>
        </a:p>
      </dgm:t>
    </dgm:pt>
    <dgm:pt modelId="{9EBAF267-3496-4C63-B0A3-FD058FBD1756}" type="sibTrans" cxnId="{0725E732-772D-4B41-82DF-28A53B6864DB}">
      <dgm:prSet/>
      <dgm:spPr/>
      <dgm:t>
        <a:bodyPr/>
        <a:lstStyle/>
        <a:p>
          <a:endParaRPr lang="es-AR"/>
        </a:p>
      </dgm:t>
    </dgm:pt>
    <dgm:pt modelId="{1178F722-C7C9-44CA-849B-C6B24ECE6D0E}">
      <dgm:prSet phldrT="[Texto]" custT="1"/>
      <dgm:spPr/>
      <dgm:t>
        <a:bodyPr/>
        <a:lstStyle/>
        <a:p>
          <a:r>
            <a:rPr lang="es-AR" sz="900">
              <a:latin typeface="Arial" panose="020B0604020202020204" pitchFamily="34" charset="0"/>
              <a:cs typeface="Arial" panose="020B0604020202020204" pitchFamily="34" charset="0"/>
            </a:rPr>
            <a:t>Aumentar los apoyos de tipo económico para la población estudiantil.</a:t>
          </a:r>
        </a:p>
      </dgm:t>
    </dgm:pt>
    <dgm:pt modelId="{9D76698E-9376-4867-89C5-C405A4471ABE}" type="parTrans" cxnId="{14E8B641-8ABC-44FD-978D-A6ECE6BF84E7}">
      <dgm:prSet/>
      <dgm:spPr/>
      <dgm:t>
        <a:bodyPr/>
        <a:lstStyle/>
        <a:p>
          <a:endParaRPr lang="es-AR"/>
        </a:p>
      </dgm:t>
    </dgm:pt>
    <dgm:pt modelId="{F7651A2B-4F5C-497E-B258-1805F1FDC2DE}" type="sibTrans" cxnId="{14E8B641-8ABC-44FD-978D-A6ECE6BF84E7}">
      <dgm:prSet/>
      <dgm:spPr/>
      <dgm:t>
        <a:bodyPr/>
        <a:lstStyle/>
        <a:p>
          <a:endParaRPr lang="es-AR"/>
        </a:p>
      </dgm:t>
    </dgm:pt>
    <dgm:pt modelId="{5154A6ED-54EA-4F29-BC37-B0D44A405DB4}">
      <dgm:prSet phldrT="[Texto]" custT="1"/>
      <dgm:spPr/>
      <dgm:t>
        <a:bodyPr/>
        <a:lstStyle/>
        <a:p>
          <a:r>
            <a:rPr lang="es-AR" sz="900">
              <a:latin typeface="Arial" panose="020B0604020202020204" pitchFamily="34" charset="0"/>
              <a:cs typeface="Arial" panose="020B0604020202020204" pitchFamily="34" charset="0"/>
            </a:rPr>
            <a:t>Contar con una planta docente suficiente y calificada. </a:t>
          </a:r>
        </a:p>
      </dgm:t>
    </dgm:pt>
    <dgm:pt modelId="{E1664D52-7990-4D67-9E57-4678A8632C1D}" type="parTrans" cxnId="{1F0769D8-E80C-4C26-B9C6-96F3B6F63FE1}">
      <dgm:prSet/>
      <dgm:spPr/>
      <dgm:t>
        <a:bodyPr/>
        <a:lstStyle/>
        <a:p>
          <a:endParaRPr lang="es-AR"/>
        </a:p>
      </dgm:t>
    </dgm:pt>
    <dgm:pt modelId="{1CDFCB87-7A00-4A66-B146-FD0A9140FA5F}" type="sibTrans" cxnId="{1F0769D8-E80C-4C26-B9C6-96F3B6F63FE1}">
      <dgm:prSet/>
      <dgm:spPr/>
      <dgm:t>
        <a:bodyPr/>
        <a:lstStyle/>
        <a:p>
          <a:endParaRPr lang="es-AR"/>
        </a:p>
      </dgm:t>
    </dgm:pt>
    <dgm:pt modelId="{7B748E3A-0AB9-4E09-8CAA-B3FEBCD311C3}">
      <dgm:prSet phldrT="[Texto]" custT="1"/>
      <dgm:spPr/>
      <dgm:t>
        <a:bodyPr/>
        <a:lstStyle/>
        <a:p>
          <a:r>
            <a:rPr lang="es-AR" sz="900">
              <a:latin typeface="Arial" panose="020B0604020202020204" pitchFamily="34" charset="0"/>
              <a:cs typeface="Arial" panose="020B0604020202020204" pitchFamily="34" charset="0"/>
            </a:rPr>
            <a:t>Programas de capacitación y actualización docente.</a:t>
          </a:r>
        </a:p>
      </dgm:t>
    </dgm:pt>
    <dgm:pt modelId="{B4D8055B-F472-460E-90D9-F3CFE5D0BC96}" type="parTrans" cxnId="{71EC6156-D6B8-4A81-8C1E-B7D1C2A0A3C9}">
      <dgm:prSet/>
      <dgm:spPr/>
      <dgm:t>
        <a:bodyPr/>
        <a:lstStyle/>
        <a:p>
          <a:endParaRPr lang="es-AR"/>
        </a:p>
      </dgm:t>
    </dgm:pt>
    <dgm:pt modelId="{F0195DB7-AD89-4B37-94AA-19A3DDDC20C1}" type="sibTrans" cxnId="{71EC6156-D6B8-4A81-8C1E-B7D1C2A0A3C9}">
      <dgm:prSet/>
      <dgm:spPr/>
      <dgm:t>
        <a:bodyPr/>
        <a:lstStyle/>
        <a:p>
          <a:endParaRPr lang="es-AR"/>
        </a:p>
      </dgm:t>
    </dgm:pt>
    <dgm:pt modelId="{52EBF359-E588-49B3-AE95-FA2AD8DBD7F5}" type="pres">
      <dgm:prSet presAssocID="{7C7E7E47-57FB-470B-9E5C-D19FE62A2DC3}" presName="linear" presStyleCnt="0">
        <dgm:presLayoutVars>
          <dgm:dir/>
          <dgm:animLvl val="lvl"/>
          <dgm:resizeHandles val="exact"/>
        </dgm:presLayoutVars>
      </dgm:prSet>
      <dgm:spPr/>
      <dgm:t>
        <a:bodyPr/>
        <a:lstStyle/>
        <a:p>
          <a:endParaRPr lang="es-MX"/>
        </a:p>
      </dgm:t>
    </dgm:pt>
    <dgm:pt modelId="{562451C8-6618-4114-B809-4EB940B595FF}" type="pres">
      <dgm:prSet presAssocID="{B7BD176D-6F5B-43F7-9817-BCFAFAAC9415}" presName="parentLin" presStyleCnt="0"/>
      <dgm:spPr/>
      <dgm:t>
        <a:bodyPr/>
        <a:lstStyle/>
        <a:p>
          <a:endParaRPr lang="es-MX"/>
        </a:p>
      </dgm:t>
    </dgm:pt>
    <dgm:pt modelId="{2D4BC767-8815-4527-AD37-5E75F270BBAF}" type="pres">
      <dgm:prSet presAssocID="{B7BD176D-6F5B-43F7-9817-BCFAFAAC9415}" presName="parentLeftMargin" presStyleLbl="node1" presStyleIdx="0" presStyleCnt="10"/>
      <dgm:spPr/>
      <dgm:t>
        <a:bodyPr/>
        <a:lstStyle/>
        <a:p>
          <a:endParaRPr lang="es-MX"/>
        </a:p>
      </dgm:t>
    </dgm:pt>
    <dgm:pt modelId="{3A4EA62A-2DD2-4181-95DA-005E7B2BB09B}" type="pres">
      <dgm:prSet presAssocID="{B7BD176D-6F5B-43F7-9817-BCFAFAAC9415}" presName="parentText" presStyleLbl="node1" presStyleIdx="0" presStyleCnt="10">
        <dgm:presLayoutVars>
          <dgm:chMax val="0"/>
          <dgm:bulletEnabled val="1"/>
        </dgm:presLayoutVars>
      </dgm:prSet>
      <dgm:spPr/>
      <dgm:t>
        <a:bodyPr/>
        <a:lstStyle/>
        <a:p>
          <a:endParaRPr lang="es-MX"/>
        </a:p>
      </dgm:t>
    </dgm:pt>
    <dgm:pt modelId="{D6739867-272E-4988-A803-A87E8744DA88}" type="pres">
      <dgm:prSet presAssocID="{B7BD176D-6F5B-43F7-9817-BCFAFAAC9415}" presName="negativeSpace" presStyleCnt="0"/>
      <dgm:spPr/>
      <dgm:t>
        <a:bodyPr/>
        <a:lstStyle/>
        <a:p>
          <a:endParaRPr lang="es-MX"/>
        </a:p>
      </dgm:t>
    </dgm:pt>
    <dgm:pt modelId="{EC58267C-DAA2-46B2-BD22-9C640261B29B}" type="pres">
      <dgm:prSet presAssocID="{B7BD176D-6F5B-43F7-9817-BCFAFAAC9415}" presName="childText" presStyleLbl="conFgAcc1" presStyleIdx="0" presStyleCnt="10">
        <dgm:presLayoutVars>
          <dgm:bulletEnabled val="1"/>
        </dgm:presLayoutVars>
      </dgm:prSet>
      <dgm:spPr/>
      <dgm:t>
        <a:bodyPr/>
        <a:lstStyle/>
        <a:p>
          <a:endParaRPr lang="es-MX"/>
        </a:p>
      </dgm:t>
    </dgm:pt>
    <dgm:pt modelId="{0CD64ABB-A606-402A-B15F-7E47A11E2954}" type="pres">
      <dgm:prSet presAssocID="{517A8D19-1CA6-45A0-A8AF-E9E7D4E4EE07}" presName="spaceBetweenRectangles" presStyleCnt="0"/>
      <dgm:spPr/>
      <dgm:t>
        <a:bodyPr/>
        <a:lstStyle/>
        <a:p>
          <a:endParaRPr lang="es-MX"/>
        </a:p>
      </dgm:t>
    </dgm:pt>
    <dgm:pt modelId="{072CFCE8-F92B-4806-AA1E-706C98644968}" type="pres">
      <dgm:prSet presAssocID="{3BFA2AB2-DC79-4C94-B119-70EFAAC36AF1}" presName="parentLin" presStyleCnt="0"/>
      <dgm:spPr/>
      <dgm:t>
        <a:bodyPr/>
        <a:lstStyle/>
        <a:p>
          <a:endParaRPr lang="es-MX"/>
        </a:p>
      </dgm:t>
    </dgm:pt>
    <dgm:pt modelId="{69C4A544-28F0-45A5-9D93-8D5FCF8F51A0}" type="pres">
      <dgm:prSet presAssocID="{3BFA2AB2-DC79-4C94-B119-70EFAAC36AF1}" presName="parentLeftMargin" presStyleLbl="node1" presStyleIdx="0" presStyleCnt="10"/>
      <dgm:spPr/>
      <dgm:t>
        <a:bodyPr/>
        <a:lstStyle/>
        <a:p>
          <a:endParaRPr lang="es-MX"/>
        </a:p>
      </dgm:t>
    </dgm:pt>
    <dgm:pt modelId="{C1D7E140-67DC-47BB-AD51-ACD033A0D61F}" type="pres">
      <dgm:prSet presAssocID="{3BFA2AB2-DC79-4C94-B119-70EFAAC36AF1}" presName="parentText" presStyleLbl="node1" presStyleIdx="1" presStyleCnt="10">
        <dgm:presLayoutVars>
          <dgm:chMax val="0"/>
          <dgm:bulletEnabled val="1"/>
        </dgm:presLayoutVars>
      </dgm:prSet>
      <dgm:spPr/>
      <dgm:t>
        <a:bodyPr/>
        <a:lstStyle/>
        <a:p>
          <a:endParaRPr lang="es-MX"/>
        </a:p>
      </dgm:t>
    </dgm:pt>
    <dgm:pt modelId="{895DD7E4-8A83-4A75-8F83-4D9678F09844}" type="pres">
      <dgm:prSet presAssocID="{3BFA2AB2-DC79-4C94-B119-70EFAAC36AF1}" presName="negativeSpace" presStyleCnt="0"/>
      <dgm:spPr/>
      <dgm:t>
        <a:bodyPr/>
        <a:lstStyle/>
        <a:p>
          <a:endParaRPr lang="es-MX"/>
        </a:p>
      </dgm:t>
    </dgm:pt>
    <dgm:pt modelId="{35F8D470-B456-452F-9536-90EF95415E82}" type="pres">
      <dgm:prSet presAssocID="{3BFA2AB2-DC79-4C94-B119-70EFAAC36AF1}" presName="childText" presStyleLbl="conFgAcc1" presStyleIdx="1" presStyleCnt="10">
        <dgm:presLayoutVars>
          <dgm:bulletEnabled val="1"/>
        </dgm:presLayoutVars>
      </dgm:prSet>
      <dgm:spPr/>
      <dgm:t>
        <a:bodyPr/>
        <a:lstStyle/>
        <a:p>
          <a:endParaRPr lang="es-MX"/>
        </a:p>
      </dgm:t>
    </dgm:pt>
    <dgm:pt modelId="{56C8B499-BB61-4903-86BA-CDBDF7D8B534}" type="pres">
      <dgm:prSet presAssocID="{22FAB3C3-F503-4629-BEAF-540AFE81C0EA}" presName="spaceBetweenRectangles" presStyleCnt="0"/>
      <dgm:spPr/>
      <dgm:t>
        <a:bodyPr/>
        <a:lstStyle/>
        <a:p>
          <a:endParaRPr lang="es-MX"/>
        </a:p>
      </dgm:t>
    </dgm:pt>
    <dgm:pt modelId="{F242619A-1008-44C1-AA3E-BCB4250686A8}" type="pres">
      <dgm:prSet presAssocID="{4AA1FB8D-0A94-4AB7-87C6-71E29F7E79FE}" presName="parentLin" presStyleCnt="0"/>
      <dgm:spPr/>
      <dgm:t>
        <a:bodyPr/>
        <a:lstStyle/>
        <a:p>
          <a:endParaRPr lang="es-MX"/>
        </a:p>
      </dgm:t>
    </dgm:pt>
    <dgm:pt modelId="{2249E8B3-9B92-4C24-A804-79BF557D0247}" type="pres">
      <dgm:prSet presAssocID="{4AA1FB8D-0A94-4AB7-87C6-71E29F7E79FE}" presName="parentLeftMargin" presStyleLbl="node1" presStyleIdx="1" presStyleCnt="10"/>
      <dgm:spPr/>
      <dgm:t>
        <a:bodyPr/>
        <a:lstStyle/>
        <a:p>
          <a:endParaRPr lang="es-MX"/>
        </a:p>
      </dgm:t>
    </dgm:pt>
    <dgm:pt modelId="{A61FF865-BD43-484F-BA0E-E61F0BFF8D4D}" type="pres">
      <dgm:prSet presAssocID="{4AA1FB8D-0A94-4AB7-87C6-71E29F7E79FE}" presName="parentText" presStyleLbl="node1" presStyleIdx="2" presStyleCnt="10">
        <dgm:presLayoutVars>
          <dgm:chMax val="0"/>
          <dgm:bulletEnabled val="1"/>
        </dgm:presLayoutVars>
      </dgm:prSet>
      <dgm:spPr/>
      <dgm:t>
        <a:bodyPr/>
        <a:lstStyle/>
        <a:p>
          <a:endParaRPr lang="es-MX"/>
        </a:p>
      </dgm:t>
    </dgm:pt>
    <dgm:pt modelId="{C247B035-7BD6-49DD-AC71-2AAFFB818010}" type="pres">
      <dgm:prSet presAssocID="{4AA1FB8D-0A94-4AB7-87C6-71E29F7E79FE}" presName="negativeSpace" presStyleCnt="0"/>
      <dgm:spPr/>
      <dgm:t>
        <a:bodyPr/>
        <a:lstStyle/>
        <a:p>
          <a:endParaRPr lang="es-MX"/>
        </a:p>
      </dgm:t>
    </dgm:pt>
    <dgm:pt modelId="{AF6943CF-5BEC-4CD7-AD62-1A409A83B085}" type="pres">
      <dgm:prSet presAssocID="{4AA1FB8D-0A94-4AB7-87C6-71E29F7E79FE}" presName="childText" presStyleLbl="conFgAcc1" presStyleIdx="2" presStyleCnt="10">
        <dgm:presLayoutVars>
          <dgm:bulletEnabled val="1"/>
        </dgm:presLayoutVars>
      </dgm:prSet>
      <dgm:spPr/>
      <dgm:t>
        <a:bodyPr/>
        <a:lstStyle/>
        <a:p>
          <a:endParaRPr lang="es-MX"/>
        </a:p>
      </dgm:t>
    </dgm:pt>
    <dgm:pt modelId="{7A8AA1DC-0912-45E6-8EB0-F2969C9BA167}" type="pres">
      <dgm:prSet presAssocID="{F156A8A3-A04C-4C16-BA58-8FF11B035667}" presName="spaceBetweenRectangles" presStyleCnt="0"/>
      <dgm:spPr/>
      <dgm:t>
        <a:bodyPr/>
        <a:lstStyle/>
        <a:p>
          <a:endParaRPr lang="es-MX"/>
        </a:p>
      </dgm:t>
    </dgm:pt>
    <dgm:pt modelId="{D75378AA-0CE5-45A0-8E05-903C542AE911}" type="pres">
      <dgm:prSet presAssocID="{9276BEB7-F6FA-4D65-B2C8-13F4DA985FEF}" presName="parentLin" presStyleCnt="0"/>
      <dgm:spPr/>
      <dgm:t>
        <a:bodyPr/>
        <a:lstStyle/>
        <a:p>
          <a:endParaRPr lang="es-MX"/>
        </a:p>
      </dgm:t>
    </dgm:pt>
    <dgm:pt modelId="{B171EFED-1AD4-4586-B03A-8599937F8F2A}" type="pres">
      <dgm:prSet presAssocID="{9276BEB7-F6FA-4D65-B2C8-13F4DA985FEF}" presName="parentLeftMargin" presStyleLbl="node1" presStyleIdx="2" presStyleCnt="10"/>
      <dgm:spPr/>
      <dgm:t>
        <a:bodyPr/>
        <a:lstStyle/>
        <a:p>
          <a:endParaRPr lang="es-MX"/>
        </a:p>
      </dgm:t>
    </dgm:pt>
    <dgm:pt modelId="{7E7201C2-28D7-42EF-B757-754FC68BFB42}" type="pres">
      <dgm:prSet presAssocID="{9276BEB7-F6FA-4D65-B2C8-13F4DA985FEF}" presName="parentText" presStyleLbl="node1" presStyleIdx="3" presStyleCnt="10">
        <dgm:presLayoutVars>
          <dgm:chMax val="0"/>
          <dgm:bulletEnabled val="1"/>
        </dgm:presLayoutVars>
      </dgm:prSet>
      <dgm:spPr/>
      <dgm:t>
        <a:bodyPr/>
        <a:lstStyle/>
        <a:p>
          <a:endParaRPr lang="es-MX"/>
        </a:p>
      </dgm:t>
    </dgm:pt>
    <dgm:pt modelId="{08FCB444-BF16-4243-8567-68B711134A8F}" type="pres">
      <dgm:prSet presAssocID="{9276BEB7-F6FA-4D65-B2C8-13F4DA985FEF}" presName="negativeSpace" presStyleCnt="0"/>
      <dgm:spPr/>
      <dgm:t>
        <a:bodyPr/>
        <a:lstStyle/>
        <a:p>
          <a:endParaRPr lang="es-MX"/>
        </a:p>
      </dgm:t>
    </dgm:pt>
    <dgm:pt modelId="{8FD75750-506A-48C1-A806-B2C27EB1B907}" type="pres">
      <dgm:prSet presAssocID="{9276BEB7-F6FA-4D65-B2C8-13F4DA985FEF}" presName="childText" presStyleLbl="conFgAcc1" presStyleIdx="3" presStyleCnt="10">
        <dgm:presLayoutVars>
          <dgm:bulletEnabled val="1"/>
        </dgm:presLayoutVars>
      </dgm:prSet>
      <dgm:spPr/>
      <dgm:t>
        <a:bodyPr/>
        <a:lstStyle/>
        <a:p>
          <a:endParaRPr lang="es-MX"/>
        </a:p>
      </dgm:t>
    </dgm:pt>
    <dgm:pt modelId="{361D001F-E469-442E-A6D2-F2EAD6D3699F}" type="pres">
      <dgm:prSet presAssocID="{33330C6C-27BF-4C32-810B-EC9CDF0C94D7}" presName="spaceBetweenRectangles" presStyleCnt="0"/>
      <dgm:spPr/>
      <dgm:t>
        <a:bodyPr/>
        <a:lstStyle/>
        <a:p>
          <a:endParaRPr lang="es-MX"/>
        </a:p>
      </dgm:t>
    </dgm:pt>
    <dgm:pt modelId="{867CE71E-4925-43CD-A54A-D4404981AAB2}" type="pres">
      <dgm:prSet presAssocID="{3B50E7A5-7854-422B-B4C8-7703DF953D58}" presName="parentLin" presStyleCnt="0"/>
      <dgm:spPr/>
      <dgm:t>
        <a:bodyPr/>
        <a:lstStyle/>
        <a:p>
          <a:endParaRPr lang="es-MX"/>
        </a:p>
      </dgm:t>
    </dgm:pt>
    <dgm:pt modelId="{6B82EB89-4C4C-4412-9CAD-D5892A4BCEBE}" type="pres">
      <dgm:prSet presAssocID="{3B50E7A5-7854-422B-B4C8-7703DF953D58}" presName="parentLeftMargin" presStyleLbl="node1" presStyleIdx="3" presStyleCnt="10"/>
      <dgm:spPr/>
      <dgm:t>
        <a:bodyPr/>
        <a:lstStyle/>
        <a:p>
          <a:endParaRPr lang="es-MX"/>
        </a:p>
      </dgm:t>
    </dgm:pt>
    <dgm:pt modelId="{2D624344-9EFA-424F-8245-A06A807E9B84}" type="pres">
      <dgm:prSet presAssocID="{3B50E7A5-7854-422B-B4C8-7703DF953D58}" presName="parentText" presStyleLbl="node1" presStyleIdx="4" presStyleCnt="10">
        <dgm:presLayoutVars>
          <dgm:chMax val="0"/>
          <dgm:bulletEnabled val="1"/>
        </dgm:presLayoutVars>
      </dgm:prSet>
      <dgm:spPr/>
      <dgm:t>
        <a:bodyPr/>
        <a:lstStyle/>
        <a:p>
          <a:endParaRPr lang="es-MX"/>
        </a:p>
      </dgm:t>
    </dgm:pt>
    <dgm:pt modelId="{80772CB2-B7C2-475C-95C9-5CB12ACCA3BF}" type="pres">
      <dgm:prSet presAssocID="{3B50E7A5-7854-422B-B4C8-7703DF953D58}" presName="negativeSpace" presStyleCnt="0"/>
      <dgm:spPr/>
      <dgm:t>
        <a:bodyPr/>
        <a:lstStyle/>
        <a:p>
          <a:endParaRPr lang="es-MX"/>
        </a:p>
      </dgm:t>
    </dgm:pt>
    <dgm:pt modelId="{9B77ED53-06A6-4853-98D5-0872DAA595F7}" type="pres">
      <dgm:prSet presAssocID="{3B50E7A5-7854-422B-B4C8-7703DF953D58}" presName="childText" presStyleLbl="conFgAcc1" presStyleIdx="4" presStyleCnt="10">
        <dgm:presLayoutVars>
          <dgm:bulletEnabled val="1"/>
        </dgm:presLayoutVars>
      </dgm:prSet>
      <dgm:spPr/>
      <dgm:t>
        <a:bodyPr/>
        <a:lstStyle/>
        <a:p>
          <a:endParaRPr lang="es-MX"/>
        </a:p>
      </dgm:t>
    </dgm:pt>
    <dgm:pt modelId="{D8C45082-6184-4B1F-9CE9-C32D07DC2888}" type="pres">
      <dgm:prSet presAssocID="{A2861F39-DA3A-44BB-8768-D4E359E801C3}" presName="spaceBetweenRectangles" presStyleCnt="0"/>
      <dgm:spPr/>
      <dgm:t>
        <a:bodyPr/>
        <a:lstStyle/>
        <a:p>
          <a:endParaRPr lang="es-MX"/>
        </a:p>
      </dgm:t>
    </dgm:pt>
    <dgm:pt modelId="{24FCB2F2-228F-407A-95B9-1E2D809BED15}" type="pres">
      <dgm:prSet presAssocID="{4276A3C0-33D0-4FBF-B3A0-31790D39BE38}" presName="parentLin" presStyleCnt="0"/>
      <dgm:spPr/>
      <dgm:t>
        <a:bodyPr/>
        <a:lstStyle/>
        <a:p>
          <a:endParaRPr lang="es-MX"/>
        </a:p>
      </dgm:t>
    </dgm:pt>
    <dgm:pt modelId="{828A98C3-A614-4DC1-8EFB-82F840357E72}" type="pres">
      <dgm:prSet presAssocID="{4276A3C0-33D0-4FBF-B3A0-31790D39BE38}" presName="parentLeftMargin" presStyleLbl="node1" presStyleIdx="4" presStyleCnt="10"/>
      <dgm:spPr/>
      <dgm:t>
        <a:bodyPr/>
        <a:lstStyle/>
        <a:p>
          <a:endParaRPr lang="es-MX"/>
        </a:p>
      </dgm:t>
    </dgm:pt>
    <dgm:pt modelId="{94FD36B2-0682-4ECC-A41F-C589F24E8F35}" type="pres">
      <dgm:prSet presAssocID="{4276A3C0-33D0-4FBF-B3A0-31790D39BE38}" presName="parentText" presStyleLbl="node1" presStyleIdx="5" presStyleCnt="10">
        <dgm:presLayoutVars>
          <dgm:chMax val="0"/>
          <dgm:bulletEnabled val="1"/>
        </dgm:presLayoutVars>
      </dgm:prSet>
      <dgm:spPr/>
      <dgm:t>
        <a:bodyPr/>
        <a:lstStyle/>
        <a:p>
          <a:endParaRPr lang="es-MX"/>
        </a:p>
      </dgm:t>
    </dgm:pt>
    <dgm:pt modelId="{B40E14BB-C87A-422D-9230-60EA01C6EDCE}" type="pres">
      <dgm:prSet presAssocID="{4276A3C0-33D0-4FBF-B3A0-31790D39BE38}" presName="negativeSpace" presStyleCnt="0"/>
      <dgm:spPr/>
      <dgm:t>
        <a:bodyPr/>
        <a:lstStyle/>
        <a:p>
          <a:endParaRPr lang="es-MX"/>
        </a:p>
      </dgm:t>
    </dgm:pt>
    <dgm:pt modelId="{9B248A76-783D-4115-8774-5E930FE536CA}" type="pres">
      <dgm:prSet presAssocID="{4276A3C0-33D0-4FBF-B3A0-31790D39BE38}" presName="childText" presStyleLbl="conFgAcc1" presStyleIdx="5" presStyleCnt="10">
        <dgm:presLayoutVars>
          <dgm:bulletEnabled val="1"/>
        </dgm:presLayoutVars>
      </dgm:prSet>
      <dgm:spPr/>
      <dgm:t>
        <a:bodyPr/>
        <a:lstStyle/>
        <a:p>
          <a:endParaRPr lang="es-MX"/>
        </a:p>
      </dgm:t>
    </dgm:pt>
    <dgm:pt modelId="{94662757-95E5-47A7-B5EB-CA2940F68CD7}" type="pres">
      <dgm:prSet presAssocID="{792E1161-31F7-4772-B9ED-76E01EBD5748}" presName="spaceBetweenRectangles" presStyleCnt="0"/>
      <dgm:spPr/>
      <dgm:t>
        <a:bodyPr/>
        <a:lstStyle/>
        <a:p>
          <a:endParaRPr lang="es-MX"/>
        </a:p>
      </dgm:t>
    </dgm:pt>
    <dgm:pt modelId="{F7098FC5-4528-4B37-9A21-FA965E817A89}" type="pres">
      <dgm:prSet presAssocID="{22D7F258-D16B-4259-B5BA-C9C0FE990769}" presName="parentLin" presStyleCnt="0"/>
      <dgm:spPr/>
      <dgm:t>
        <a:bodyPr/>
        <a:lstStyle/>
        <a:p>
          <a:endParaRPr lang="es-MX"/>
        </a:p>
      </dgm:t>
    </dgm:pt>
    <dgm:pt modelId="{91909378-C0B5-43EC-8330-294DA2A5B6AD}" type="pres">
      <dgm:prSet presAssocID="{22D7F258-D16B-4259-B5BA-C9C0FE990769}" presName="parentLeftMargin" presStyleLbl="node1" presStyleIdx="5" presStyleCnt="10"/>
      <dgm:spPr/>
      <dgm:t>
        <a:bodyPr/>
        <a:lstStyle/>
        <a:p>
          <a:endParaRPr lang="es-MX"/>
        </a:p>
      </dgm:t>
    </dgm:pt>
    <dgm:pt modelId="{E5D56090-9D29-4B3F-967B-58148910D1D8}" type="pres">
      <dgm:prSet presAssocID="{22D7F258-D16B-4259-B5BA-C9C0FE990769}" presName="parentText" presStyleLbl="node1" presStyleIdx="6" presStyleCnt="10">
        <dgm:presLayoutVars>
          <dgm:chMax val="0"/>
          <dgm:bulletEnabled val="1"/>
        </dgm:presLayoutVars>
      </dgm:prSet>
      <dgm:spPr/>
      <dgm:t>
        <a:bodyPr/>
        <a:lstStyle/>
        <a:p>
          <a:endParaRPr lang="es-MX"/>
        </a:p>
      </dgm:t>
    </dgm:pt>
    <dgm:pt modelId="{962F6046-CCD8-4AA5-BE87-EE1D8AFEEC60}" type="pres">
      <dgm:prSet presAssocID="{22D7F258-D16B-4259-B5BA-C9C0FE990769}" presName="negativeSpace" presStyleCnt="0"/>
      <dgm:spPr/>
      <dgm:t>
        <a:bodyPr/>
        <a:lstStyle/>
        <a:p>
          <a:endParaRPr lang="es-MX"/>
        </a:p>
      </dgm:t>
    </dgm:pt>
    <dgm:pt modelId="{26EB730F-ED3A-48FA-ADCE-5D8EEAA9AAD4}" type="pres">
      <dgm:prSet presAssocID="{22D7F258-D16B-4259-B5BA-C9C0FE990769}" presName="childText" presStyleLbl="conFgAcc1" presStyleIdx="6" presStyleCnt="10">
        <dgm:presLayoutVars>
          <dgm:bulletEnabled val="1"/>
        </dgm:presLayoutVars>
      </dgm:prSet>
      <dgm:spPr/>
      <dgm:t>
        <a:bodyPr/>
        <a:lstStyle/>
        <a:p>
          <a:endParaRPr lang="es-MX"/>
        </a:p>
      </dgm:t>
    </dgm:pt>
    <dgm:pt modelId="{F93711D4-48DA-40BF-8CA6-04BD6A57C064}" type="pres">
      <dgm:prSet presAssocID="{9EBAF267-3496-4C63-B0A3-FD058FBD1756}" presName="spaceBetweenRectangles" presStyleCnt="0"/>
      <dgm:spPr/>
      <dgm:t>
        <a:bodyPr/>
        <a:lstStyle/>
        <a:p>
          <a:endParaRPr lang="es-MX"/>
        </a:p>
      </dgm:t>
    </dgm:pt>
    <dgm:pt modelId="{78ED3EA5-6BB2-48AE-B8A1-203058186E78}" type="pres">
      <dgm:prSet presAssocID="{1178F722-C7C9-44CA-849B-C6B24ECE6D0E}" presName="parentLin" presStyleCnt="0"/>
      <dgm:spPr/>
      <dgm:t>
        <a:bodyPr/>
        <a:lstStyle/>
        <a:p>
          <a:endParaRPr lang="es-MX"/>
        </a:p>
      </dgm:t>
    </dgm:pt>
    <dgm:pt modelId="{E31697DE-C9AF-4888-8796-012D20AAA242}" type="pres">
      <dgm:prSet presAssocID="{1178F722-C7C9-44CA-849B-C6B24ECE6D0E}" presName="parentLeftMargin" presStyleLbl="node1" presStyleIdx="6" presStyleCnt="10"/>
      <dgm:spPr/>
      <dgm:t>
        <a:bodyPr/>
        <a:lstStyle/>
        <a:p>
          <a:endParaRPr lang="es-MX"/>
        </a:p>
      </dgm:t>
    </dgm:pt>
    <dgm:pt modelId="{20118772-0D60-4FDC-A273-181ACB18C39B}" type="pres">
      <dgm:prSet presAssocID="{1178F722-C7C9-44CA-849B-C6B24ECE6D0E}" presName="parentText" presStyleLbl="node1" presStyleIdx="7" presStyleCnt="10">
        <dgm:presLayoutVars>
          <dgm:chMax val="0"/>
          <dgm:bulletEnabled val="1"/>
        </dgm:presLayoutVars>
      </dgm:prSet>
      <dgm:spPr/>
      <dgm:t>
        <a:bodyPr/>
        <a:lstStyle/>
        <a:p>
          <a:endParaRPr lang="es-MX"/>
        </a:p>
      </dgm:t>
    </dgm:pt>
    <dgm:pt modelId="{C24CCC18-13FF-4128-89EC-4482FED0A46A}" type="pres">
      <dgm:prSet presAssocID="{1178F722-C7C9-44CA-849B-C6B24ECE6D0E}" presName="negativeSpace" presStyleCnt="0"/>
      <dgm:spPr/>
      <dgm:t>
        <a:bodyPr/>
        <a:lstStyle/>
        <a:p>
          <a:endParaRPr lang="es-MX"/>
        </a:p>
      </dgm:t>
    </dgm:pt>
    <dgm:pt modelId="{E4195CC8-E693-44EC-BC00-7D6F467E2D3A}" type="pres">
      <dgm:prSet presAssocID="{1178F722-C7C9-44CA-849B-C6B24ECE6D0E}" presName="childText" presStyleLbl="conFgAcc1" presStyleIdx="7" presStyleCnt="10">
        <dgm:presLayoutVars>
          <dgm:bulletEnabled val="1"/>
        </dgm:presLayoutVars>
      </dgm:prSet>
      <dgm:spPr/>
      <dgm:t>
        <a:bodyPr/>
        <a:lstStyle/>
        <a:p>
          <a:endParaRPr lang="es-MX"/>
        </a:p>
      </dgm:t>
    </dgm:pt>
    <dgm:pt modelId="{FDBAEB09-6339-4064-B873-3471E3C42235}" type="pres">
      <dgm:prSet presAssocID="{F7651A2B-4F5C-497E-B258-1805F1FDC2DE}" presName="spaceBetweenRectangles" presStyleCnt="0"/>
      <dgm:spPr/>
      <dgm:t>
        <a:bodyPr/>
        <a:lstStyle/>
        <a:p>
          <a:endParaRPr lang="es-MX"/>
        </a:p>
      </dgm:t>
    </dgm:pt>
    <dgm:pt modelId="{D98E0102-3C75-4548-A849-2A102B02DF52}" type="pres">
      <dgm:prSet presAssocID="{5154A6ED-54EA-4F29-BC37-B0D44A405DB4}" presName="parentLin" presStyleCnt="0"/>
      <dgm:spPr/>
      <dgm:t>
        <a:bodyPr/>
        <a:lstStyle/>
        <a:p>
          <a:endParaRPr lang="es-MX"/>
        </a:p>
      </dgm:t>
    </dgm:pt>
    <dgm:pt modelId="{8D9BB77B-7F89-4684-8297-2259B6F1DFF2}" type="pres">
      <dgm:prSet presAssocID="{5154A6ED-54EA-4F29-BC37-B0D44A405DB4}" presName="parentLeftMargin" presStyleLbl="node1" presStyleIdx="7" presStyleCnt="10"/>
      <dgm:spPr/>
      <dgm:t>
        <a:bodyPr/>
        <a:lstStyle/>
        <a:p>
          <a:endParaRPr lang="es-MX"/>
        </a:p>
      </dgm:t>
    </dgm:pt>
    <dgm:pt modelId="{1A06CCAE-E9DD-45B6-8E46-1625098FFF33}" type="pres">
      <dgm:prSet presAssocID="{5154A6ED-54EA-4F29-BC37-B0D44A405DB4}" presName="parentText" presStyleLbl="node1" presStyleIdx="8" presStyleCnt="10">
        <dgm:presLayoutVars>
          <dgm:chMax val="0"/>
          <dgm:bulletEnabled val="1"/>
        </dgm:presLayoutVars>
      </dgm:prSet>
      <dgm:spPr/>
      <dgm:t>
        <a:bodyPr/>
        <a:lstStyle/>
        <a:p>
          <a:endParaRPr lang="es-MX"/>
        </a:p>
      </dgm:t>
    </dgm:pt>
    <dgm:pt modelId="{32675D5D-9877-4E8B-8247-9E91B5B95191}" type="pres">
      <dgm:prSet presAssocID="{5154A6ED-54EA-4F29-BC37-B0D44A405DB4}" presName="negativeSpace" presStyleCnt="0"/>
      <dgm:spPr/>
      <dgm:t>
        <a:bodyPr/>
        <a:lstStyle/>
        <a:p>
          <a:endParaRPr lang="es-MX"/>
        </a:p>
      </dgm:t>
    </dgm:pt>
    <dgm:pt modelId="{27EB0036-D476-4C7E-BDC7-43E67D91A2A0}" type="pres">
      <dgm:prSet presAssocID="{5154A6ED-54EA-4F29-BC37-B0D44A405DB4}" presName="childText" presStyleLbl="conFgAcc1" presStyleIdx="8" presStyleCnt="10">
        <dgm:presLayoutVars>
          <dgm:bulletEnabled val="1"/>
        </dgm:presLayoutVars>
      </dgm:prSet>
      <dgm:spPr/>
      <dgm:t>
        <a:bodyPr/>
        <a:lstStyle/>
        <a:p>
          <a:endParaRPr lang="es-MX"/>
        </a:p>
      </dgm:t>
    </dgm:pt>
    <dgm:pt modelId="{71320777-CA6B-44BA-9843-0400318A1402}" type="pres">
      <dgm:prSet presAssocID="{1CDFCB87-7A00-4A66-B146-FD0A9140FA5F}" presName="spaceBetweenRectangles" presStyleCnt="0"/>
      <dgm:spPr/>
      <dgm:t>
        <a:bodyPr/>
        <a:lstStyle/>
        <a:p>
          <a:endParaRPr lang="es-MX"/>
        </a:p>
      </dgm:t>
    </dgm:pt>
    <dgm:pt modelId="{EE7EB782-3136-4308-917E-1CC6A5E1F181}" type="pres">
      <dgm:prSet presAssocID="{7B748E3A-0AB9-4E09-8CAA-B3FEBCD311C3}" presName="parentLin" presStyleCnt="0"/>
      <dgm:spPr/>
      <dgm:t>
        <a:bodyPr/>
        <a:lstStyle/>
        <a:p>
          <a:endParaRPr lang="es-MX"/>
        </a:p>
      </dgm:t>
    </dgm:pt>
    <dgm:pt modelId="{A7DDA9C1-C34C-4ED4-9C97-5530E19923B9}" type="pres">
      <dgm:prSet presAssocID="{7B748E3A-0AB9-4E09-8CAA-B3FEBCD311C3}" presName="parentLeftMargin" presStyleLbl="node1" presStyleIdx="8" presStyleCnt="10"/>
      <dgm:spPr/>
      <dgm:t>
        <a:bodyPr/>
        <a:lstStyle/>
        <a:p>
          <a:endParaRPr lang="es-MX"/>
        </a:p>
      </dgm:t>
    </dgm:pt>
    <dgm:pt modelId="{0D9D9321-134D-4F03-838F-D30B50EECC9F}" type="pres">
      <dgm:prSet presAssocID="{7B748E3A-0AB9-4E09-8CAA-B3FEBCD311C3}" presName="parentText" presStyleLbl="node1" presStyleIdx="9" presStyleCnt="10">
        <dgm:presLayoutVars>
          <dgm:chMax val="0"/>
          <dgm:bulletEnabled val="1"/>
        </dgm:presLayoutVars>
      </dgm:prSet>
      <dgm:spPr/>
      <dgm:t>
        <a:bodyPr/>
        <a:lstStyle/>
        <a:p>
          <a:endParaRPr lang="es-MX"/>
        </a:p>
      </dgm:t>
    </dgm:pt>
    <dgm:pt modelId="{697C1B36-FCEA-427C-A924-ADA5242B0328}" type="pres">
      <dgm:prSet presAssocID="{7B748E3A-0AB9-4E09-8CAA-B3FEBCD311C3}" presName="negativeSpace" presStyleCnt="0"/>
      <dgm:spPr/>
      <dgm:t>
        <a:bodyPr/>
        <a:lstStyle/>
        <a:p>
          <a:endParaRPr lang="es-MX"/>
        </a:p>
      </dgm:t>
    </dgm:pt>
    <dgm:pt modelId="{6419E28F-548F-43BC-96B0-702977A8247E}" type="pres">
      <dgm:prSet presAssocID="{7B748E3A-0AB9-4E09-8CAA-B3FEBCD311C3}" presName="childText" presStyleLbl="conFgAcc1" presStyleIdx="9" presStyleCnt="10">
        <dgm:presLayoutVars>
          <dgm:bulletEnabled val="1"/>
        </dgm:presLayoutVars>
      </dgm:prSet>
      <dgm:spPr/>
      <dgm:t>
        <a:bodyPr/>
        <a:lstStyle/>
        <a:p>
          <a:endParaRPr lang="es-MX"/>
        </a:p>
      </dgm:t>
    </dgm:pt>
  </dgm:ptLst>
  <dgm:cxnLst>
    <dgm:cxn modelId="{0725E732-772D-4B41-82DF-28A53B6864DB}" srcId="{7C7E7E47-57FB-470B-9E5C-D19FE62A2DC3}" destId="{22D7F258-D16B-4259-B5BA-C9C0FE990769}" srcOrd="6" destOrd="0" parTransId="{ACA9BDDC-CB7E-4039-AB18-D6A04D3E814A}" sibTransId="{9EBAF267-3496-4C63-B0A3-FD058FBD1756}"/>
    <dgm:cxn modelId="{BFF0CD27-7116-4768-B06F-250FF5801DD3}" type="presOf" srcId="{3B50E7A5-7854-422B-B4C8-7703DF953D58}" destId="{2D624344-9EFA-424F-8245-A06A807E9B84}" srcOrd="1" destOrd="0" presId="urn:microsoft.com/office/officeart/2005/8/layout/list1"/>
    <dgm:cxn modelId="{14E8B641-8ABC-44FD-978D-A6ECE6BF84E7}" srcId="{7C7E7E47-57FB-470B-9E5C-D19FE62A2DC3}" destId="{1178F722-C7C9-44CA-849B-C6B24ECE6D0E}" srcOrd="7" destOrd="0" parTransId="{9D76698E-9376-4867-89C5-C405A4471ABE}" sibTransId="{F7651A2B-4F5C-497E-B258-1805F1FDC2DE}"/>
    <dgm:cxn modelId="{71EC6156-D6B8-4A81-8C1E-B7D1C2A0A3C9}" srcId="{7C7E7E47-57FB-470B-9E5C-D19FE62A2DC3}" destId="{7B748E3A-0AB9-4E09-8CAA-B3FEBCD311C3}" srcOrd="9" destOrd="0" parTransId="{B4D8055B-F472-460E-90D9-F3CFE5D0BC96}" sibTransId="{F0195DB7-AD89-4B37-94AA-19A3DDDC20C1}"/>
    <dgm:cxn modelId="{BE2A52F8-596E-437A-9188-F58F9E16BEF8}" type="presOf" srcId="{1178F722-C7C9-44CA-849B-C6B24ECE6D0E}" destId="{E31697DE-C9AF-4888-8796-012D20AAA242}" srcOrd="0" destOrd="0" presId="urn:microsoft.com/office/officeart/2005/8/layout/list1"/>
    <dgm:cxn modelId="{4A396CA7-031F-4853-B479-EF1A24CCD8BF}" type="presOf" srcId="{22D7F258-D16B-4259-B5BA-C9C0FE990769}" destId="{E5D56090-9D29-4B3F-967B-58148910D1D8}" srcOrd="1" destOrd="0" presId="urn:microsoft.com/office/officeart/2005/8/layout/list1"/>
    <dgm:cxn modelId="{A76B1A18-9C99-45E7-8ECC-AC9FC80C6BDA}" type="presOf" srcId="{3BFA2AB2-DC79-4C94-B119-70EFAAC36AF1}" destId="{69C4A544-28F0-45A5-9D93-8D5FCF8F51A0}" srcOrd="0" destOrd="0" presId="urn:microsoft.com/office/officeart/2005/8/layout/list1"/>
    <dgm:cxn modelId="{E2744F54-EB46-48AA-AE5E-DBE00D7A629E}" type="presOf" srcId="{3B50E7A5-7854-422B-B4C8-7703DF953D58}" destId="{6B82EB89-4C4C-4412-9CAD-D5892A4BCEBE}" srcOrd="0" destOrd="0" presId="urn:microsoft.com/office/officeart/2005/8/layout/list1"/>
    <dgm:cxn modelId="{B28CFE87-D16D-457A-B395-2CED722E2B37}" srcId="{7C7E7E47-57FB-470B-9E5C-D19FE62A2DC3}" destId="{3B50E7A5-7854-422B-B4C8-7703DF953D58}" srcOrd="4" destOrd="0" parTransId="{3D7A21EB-9DD5-43EA-9CAD-33ADBF38B66B}" sibTransId="{A2861F39-DA3A-44BB-8768-D4E359E801C3}"/>
    <dgm:cxn modelId="{5956BC6C-FB51-4D9C-8BE4-23F424441DD5}" srcId="{7C7E7E47-57FB-470B-9E5C-D19FE62A2DC3}" destId="{9276BEB7-F6FA-4D65-B2C8-13F4DA985FEF}" srcOrd="3" destOrd="0" parTransId="{0012C931-1F52-44FB-9C28-784F0E2D7184}" sibTransId="{33330C6C-27BF-4C32-810B-EC9CDF0C94D7}"/>
    <dgm:cxn modelId="{13C442EE-C1F4-4D1F-8394-A38817B70FE0}" type="presOf" srcId="{4276A3C0-33D0-4FBF-B3A0-31790D39BE38}" destId="{828A98C3-A614-4DC1-8EFB-82F840357E72}" srcOrd="0" destOrd="0" presId="urn:microsoft.com/office/officeart/2005/8/layout/list1"/>
    <dgm:cxn modelId="{8EB28F1B-1DC7-4291-91BC-EB66BC2E4402}" type="presOf" srcId="{3BFA2AB2-DC79-4C94-B119-70EFAAC36AF1}" destId="{C1D7E140-67DC-47BB-AD51-ACD033A0D61F}" srcOrd="1" destOrd="0" presId="urn:microsoft.com/office/officeart/2005/8/layout/list1"/>
    <dgm:cxn modelId="{CCBC3C33-4BB8-4204-B423-B486E0970155}" srcId="{7C7E7E47-57FB-470B-9E5C-D19FE62A2DC3}" destId="{4276A3C0-33D0-4FBF-B3A0-31790D39BE38}" srcOrd="5" destOrd="0" parTransId="{3C65175B-6699-497A-A8CA-A5FF7FF7D277}" sibTransId="{792E1161-31F7-4772-B9ED-76E01EBD5748}"/>
    <dgm:cxn modelId="{FA4EAC08-356C-4A72-97AC-AF1A63E39453}" type="presOf" srcId="{9276BEB7-F6FA-4D65-B2C8-13F4DA985FEF}" destId="{B171EFED-1AD4-4586-B03A-8599937F8F2A}" srcOrd="0" destOrd="0" presId="urn:microsoft.com/office/officeart/2005/8/layout/list1"/>
    <dgm:cxn modelId="{3F83EDBA-F379-4C0F-B317-C69EA23AB398}" type="presOf" srcId="{5154A6ED-54EA-4F29-BC37-B0D44A405DB4}" destId="{1A06CCAE-E9DD-45B6-8E46-1625098FFF33}" srcOrd="1" destOrd="0" presId="urn:microsoft.com/office/officeart/2005/8/layout/list1"/>
    <dgm:cxn modelId="{8FC35A9B-B361-4017-ABC4-DDEB07E4B823}" srcId="{7C7E7E47-57FB-470B-9E5C-D19FE62A2DC3}" destId="{3BFA2AB2-DC79-4C94-B119-70EFAAC36AF1}" srcOrd="1" destOrd="0" parTransId="{54E27ED2-1E32-42AF-A348-BE290507750C}" sibTransId="{22FAB3C3-F503-4629-BEAF-540AFE81C0EA}"/>
    <dgm:cxn modelId="{92B6E065-B76E-4BC6-AEAE-9503BD9A011C}" srcId="{7C7E7E47-57FB-470B-9E5C-D19FE62A2DC3}" destId="{4AA1FB8D-0A94-4AB7-87C6-71E29F7E79FE}" srcOrd="2" destOrd="0" parTransId="{3AE65E61-03BB-456C-B893-4DC9F7487016}" sibTransId="{F156A8A3-A04C-4C16-BA58-8FF11B035667}"/>
    <dgm:cxn modelId="{B714B08B-E0E2-47A7-A61B-32758394F8E7}" type="presOf" srcId="{4276A3C0-33D0-4FBF-B3A0-31790D39BE38}" destId="{94FD36B2-0682-4ECC-A41F-C589F24E8F35}" srcOrd="1" destOrd="0" presId="urn:microsoft.com/office/officeart/2005/8/layout/list1"/>
    <dgm:cxn modelId="{9D41EE55-C006-41F5-862B-FC6924A28563}" type="presOf" srcId="{9276BEB7-F6FA-4D65-B2C8-13F4DA985FEF}" destId="{7E7201C2-28D7-42EF-B757-754FC68BFB42}" srcOrd="1" destOrd="0" presId="urn:microsoft.com/office/officeart/2005/8/layout/list1"/>
    <dgm:cxn modelId="{1F0769D8-E80C-4C26-B9C6-96F3B6F63FE1}" srcId="{7C7E7E47-57FB-470B-9E5C-D19FE62A2DC3}" destId="{5154A6ED-54EA-4F29-BC37-B0D44A405DB4}" srcOrd="8" destOrd="0" parTransId="{E1664D52-7990-4D67-9E57-4678A8632C1D}" sibTransId="{1CDFCB87-7A00-4A66-B146-FD0A9140FA5F}"/>
    <dgm:cxn modelId="{900A4447-3C51-4B8D-BA71-27A87FBCED73}" type="presOf" srcId="{7C7E7E47-57FB-470B-9E5C-D19FE62A2DC3}" destId="{52EBF359-E588-49B3-AE95-FA2AD8DBD7F5}" srcOrd="0" destOrd="0" presId="urn:microsoft.com/office/officeart/2005/8/layout/list1"/>
    <dgm:cxn modelId="{FDA32EE5-4DC9-41C4-9F3F-6221F5C38A93}" type="presOf" srcId="{B7BD176D-6F5B-43F7-9817-BCFAFAAC9415}" destId="{3A4EA62A-2DD2-4181-95DA-005E7B2BB09B}" srcOrd="1" destOrd="0" presId="urn:microsoft.com/office/officeart/2005/8/layout/list1"/>
    <dgm:cxn modelId="{6803FEA4-879C-445A-8373-6E67AB17BECE}" type="presOf" srcId="{7B748E3A-0AB9-4E09-8CAA-B3FEBCD311C3}" destId="{A7DDA9C1-C34C-4ED4-9C97-5530E19923B9}" srcOrd="0" destOrd="0" presId="urn:microsoft.com/office/officeart/2005/8/layout/list1"/>
    <dgm:cxn modelId="{96BA36EF-A9D1-4377-9D06-B50828F995D4}" type="presOf" srcId="{5154A6ED-54EA-4F29-BC37-B0D44A405DB4}" destId="{8D9BB77B-7F89-4684-8297-2259B6F1DFF2}" srcOrd="0" destOrd="0" presId="urn:microsoft.com/office/officeart/2005/8/layout/list1"/>
    <dgm:cxn modelId="{6652573F-79F1-4C06-8B8B-A27CA84459C4}" type="presOf" srcId="{4AA1FB8D-0A94-4AB7-87C6-71E29F7E79FE}" destId="{2249E8B3-9B92-4C24-A804-79BF557D0247}" srcOrd="0" destOrd="0" presId="urn:microsoft.com/office/officeart/2005/8/layout/list1"/>
    <dgm:cxn modelId="{9B85A4D4-0444-4711-9DDF-FB2CBE5CF676}" srcId="{7C7E7E47-57FB-470B-9E5C-D19FE62A2DC3}" destId="{B7BD176D-6F5B-43F7-9817-BCFAFAAC9415}" srcOrd="0" destOrd="0" parTransId="{732FCA87-79D1-43E2-AB0B-43D638BE2325}" sibTransId="{517A8D19-1CA6-45A0-A8AF-E9E7D4E4EE07}"/>
    <dgm:cxn modelId="{A841B2EE-5C27-4AE0-957B-C4CC3CF5B69E}" type="presOf" srcId="{1178F722-C7C9-44CA-849B-C6B24ECE6D0E}" destId="{20118772-0D60-4FDC-A273-181ACB18C39B}" srcOrd="1" destOrd="0" presId="urn:microsoft.com/office/officeart/2005/8/layout/list1"/>
    <dgm:cxn modelId="{58F28EF0-EC7B-480C-A2FF-4E227D894DF3}" type="presOf" srcId="{7B748E3A-0AB9-4E09-8CAA-B3FEBCD311C3}" destId="{0D9D9321-134D-4F03-838F-D30B50EECC9F}" srcOrd="1" destOrd="0" presId="urn:microsoft.com/office/officeart/2005/8/layout/list1"/>
    <dgm:cxn modelId="{F2E13438-B4BE-4986-9D4F-E1ED97EC0967}" type="presOf" srcId="{22D7F258-D16B-4259-B5BA-C9C0FE990769}" destId="{91909378-C0B5-43EC-8330-294DA2A5B6AD}" srcOrd="0" destOrd="0" presId="urn:microsoft.com/office/officeart/2005/8/layout/list1"/>
    <dgm:cxn modelId="{85FBDE6E-9863-445C-BA80-FAA89DC2480C}" type="presOf" srcId="{4AA1FB8D-0A94-4AB7-87C6-71E29F7E79FE}" destId="{A61FF865-BD43-484F-BA0E-E61F0BFF8D4D}" srcOrd="1" destOrd="0" presId="urn:microsoft.com/office/officeart/2005/8/layout/list1"/>
    <dgm:cxn modelId="{8864E7C0-D4C8-4F1D-BBF5-3555D067769F}" type="presOf" srcId="{B7BD176D-6F5B-43F7-9817-BCFAFAAC9415}" destId="{2D4BC767-8815-4527-AD37-5E75F270BBAF}" srcOrd="0" destOrd="0" presId="urn:microsoft.com/office/officeart/2005/8/layout/list1"/>
    <dgm:cxn modelId="{37157EDC-5FB5-4A2B-9107-8024AE681A17}" type="presParOf" srcId="{52EBF359-E588-49B3-AE95-FA2AD8DBD7F5}" destId="{562451C8-6618-4114-B809-4EB940B595FF}" srcOrd="0" destOrd="0" presId="urn:microsoft.com/office/officeart/2005/8/layout/list1"/>
    <dgm:cxn modelId="{7D32360C-2656-41B5-B323-8C69A8379EC4}" type="presParOf" srcId="{562451C8-6618-4114-B809-4EB940B595FF}" destId="{2D4BC767-8815-4527-AD37-5E75F270BBAF}" srcOrd="0" destOrd="0" presId="urn:microsoft.com/office/officeart/2005/8/layout/list1"/>
    <dgm:cxn modelId="{D564EE8E-6A3B-4437-9C0D-5275CA601EA3}" type="presParOf" srcId="{562451C8-6618-4114-B809-4EB940B595FF}" destId="{3A4EA62A-2DD2-4181-95DA-005E7B2BB09B}" srcOrd="1" destOrd="0" presId="urn:microsoft.com/office/officeart/2005/8/layout/list1"/>
    <dgm:cxn modelId="{8ADF365A-5819-4152-B970-B49EEC837121}" type="presParOf" srcId="{52EBF359-E588-49B3-AE95-FA2AD8DBD7F5}" destId="{D6739867-272E-4988-A803-A87E8744DA88}" srcOrd="1" destOrd="0" presId="urn:microsoft.com/office/officeart/2005/8/layout/list1"/>
    <dgm:cxn modelId="{9F62550E-C8CB-44DC-AD8A-9D73098B93D4}" type="presParOf" srcId="{52EBF359-E588-49B3-AE95-FA2AD8DBD7F5}" destId="{EC58267C-DAA2-46B2-BD22-9C640261B29B}" srcOrd="2" destOrd="0" presId="urn:microsoft.com/office/officeart/2005/8/layout/list1"/>
    <dgm:cxn modelId="{0E45416E-2140-48B1-81BA-62C2DF687FF0}" type="presParOf" srcId="{52EBF359-E588-49B3-AE95-FA2AD8DBD7F5}" destId="{0CD64ABB-A606-402A-B15F-7E47A11E2954}" srcOrd="3" destOrd="0" presId="urn:microsoft.com/office/officeart/2005/8/layout/list1"/>
    <dgm:cxn modelId="{AAB7506C-5642-46D9-8EFD-702151627281}" type="presParOf" srcId="{52EBF359-E588-49B3-AE95-FA2AD8DBD7F5}" destId="{072CFCE8-F92B-4806-AA1E-706C98644968}" srcOrd="4" destOrd="0" presId="urn:microsoft.com/office/officeart/2005/8/layout/list1"/>
    <dgm:cxn modelId="{F5EB58C9-B973-4EAA-A418-D41020177BAF}" type="presParOf" srcId="{072CFCE8-F92B-4806-AA1E-706C98644968}" destId="{69C4A544-28F0-45A5-9D93-8D5FCF8F51A0}" srcOrd="0" destOrd="0" presId="urn:microsoft.com/office/officeart/2005/8/layout/list1"/>
    <dgm:cxn modelId="{51603448-9DF9-48BC-A81E-C69E3E5CB8A8}" type="presParOf" srcId="{072CFCE8-F92B-4806-AA1E-706C98644968}" destId="{C1D7E140-67DC-47BB-AD51-ACD033A0D61F}" srcOrd="1" destOrd="0" presId="urn:microsoft.com/office/officeart/2005/8/layout/list1"/>
    <dgm:cxn modelId="{9D731DB1-E155-4C71-B82D-72223E38182B}" type="presParOf" srcId="{52EBF359-E588-49B3-AE95-FA2AD8DBD7F5}" destId="{895DD7E4-8A83-4A75-8F83-4D9678F09844}" srcOrd="5" destOrd="0" presId="urn:microsoft.com/office/officeart/2005/8/layout/list1"/>
    <dgm:cxn modelId="{C07FF239-C821-4961-B5C4-D2B645CAAD39}" type="presParOf" srcId="{52EBF359-E588-49B3-AE95-FA2AD8DBD7F5}" destId="{35F8D470-B456-452F-9536-90EF95415E82}" srcOrd="6" destOrd="0" presId="urn:microsoft.com/office/officeart/2005/8/layout/list1"/>
    <dgm:cxn modelId="{56FB7199-64E3-497E-8A60-43934C149F68}" type="presParOf" srcId="{52EBF359-E588-49B3-AE95-FA2AD8DBD7F5}" destId="{56C8B499-BB61-4903-86BA-CDBDF7D8B534}" srcOrd="7" destOrd="0" presId="urn:microsoft.com/office/officeart/2005/8/layout/list1"/>
    <dgm:cxn modelId="{BA66AA03-1155-49A0-A299-3E621ADD8894}" type="presParOf" srcId="{52EBF359-E588-49B3-AE95-FA2AD8DBD7F5}" destId="{F242619A-1008-44C1-AA3E-BCB4250686A8}" srcOrd="8" destOrd="0" presId="urn:microsoft.com/office/officeart/2005/8/layout/list1"/>
    <dgm:cxn modelId="{A6BC2C7D-BB9F-4649-902A-A602B36E19DF}" type="presParOf" srcId="{F242619A-1008-44C1-AA3E-BCB4250686A8}" destId="{2249E8B3-9B92-4C24-A804-79BF557D0247}" srcOrd="0" destOrd="0" presId="urn:microsoft.com/office/officeart/2005/8/layout/list1"/>
    <dgm:cxn modelId="{9572F511-4623-4A72-AEB2-13D44F5270B3}" type="presParOf" srcId="{F242619A-1008-44C1-AA3E-BCB4250686A8}" destId="{A61FF865-BD43-484F-BA0E-E61F0BFF8D4D}" srcOrd="1" destOrd="0" presId="urn:microsoft.com/office/officeart/2005/8/layout/list1"/>
    <dgm:cxn modelId="{63A75FD8-13AE-4A3A-9B73-700779E4223B}" type="presParOf" srcId="{52EBF359-E588-49B3-AE95-FA2AD8DBD7F5}" destId="{C247B035-7BD6-49DD-AC71-2AAFFB818010}" srcOrd="9" destOrd="0" presId="urn:microsoft.com/office/officeart/2005/8/layout/list1"/>
    <dgm:cxn modelId="{D395A741-A467-4F82-A333-6F38E28D6778}" type="presParOf" srcId="{52EBF359-E588-49B3-AE95-FA2AD8DBD7F5}" destId="{AF6943CF-5BEC-4CD7-AD62-1A409A83B085}" srcOrd="10" destOrd="0" presId="urn:microsoft.com/office/officeart/2005/8/layout/list1"/>
    <dgm:cxn modelId="{8EDA7205-B887-4849-A1E3-5E54FB68EC80}" type="presParOf" srcId="{52EBF359-E588-49B3-AE95-FA2AD8DBD7F5}" destId="{7A8AA1DC-0912-45E6-8EB0-F2969C9BA167}" srcOrd="11" destOrd="0" presId="urn:microsoft.com/office/officeart/2005/8/layout/list1"/>
    <dgm:cxn modelId="{0636C5E1-8E89-421C-BEAC-159760AD9532}" type="presParOf" srcId="{52EBF359-E588-49B3-AE95-FA2AD8DBD7F5}" destId="{D75378AA-0CE5-45A0-8E05-903C542AE911}" srcOrd="12" destOrd="0" presId="urn:microsoft.com/office/officeart/2005/8/layout/list1"/>
    <dgm:cxn modelId="{F0F4284E-72A9-4EA5-832F-F69FEEBD3157}" type="presParOf" srcId="{D75378AA-0CE5-45A0-8E05-903C542AE911}" destId="{B171EFED-1AD4-4586-B03A-8599937F8F2A}" srcOrd="0" destOrd="0" presId="urn:microsoft.com/office/officeart/2005/8/layout/list1"/>
    <dgm:cxn modelId="{BB301988-A332-48DE-B910-0E5EC195CD17}" type="presParOf" srcId="{D75378AA-0CE5-45A0-8E05-903C542AE911}" destId="{7E7201C2-28D7-42EF-B757-754FC68BFB42}" srcOrd="1" destOrd="0" presId="urn:microsoft.com/office/officeart/2005/8/layout/list1"/>
    <dgm:cxn modelId="{64554DBE-CC96-4F92-A5D5-DEF5F40452FE}" type="presParOf" srcId="{52EBF359-E588-49B3-AE95-FA2AD8DBD7F5}" destId="{08FCB444-BF16-4243-8567-68B711134A8F}" srcOrd="13" destOrd="0" presId="urn:microsoft.com/office/officeart/2005/8/layout/list1"/>
    <dgm:cxn modelId="{9498D193-1845-4B92-B16C-F0663081062A}" type="presParOf" srcId="{52EBF359-E588-49B3-AE95-FA2AD8DBD7F5}" destId="{8FD75750-506A-48C1-A806-B2C27EB1B907}" srcOrd="14" destOrd="0" presId="urn:microsoft.com/office/officeart/2005/8/layout/list1"/>
    <dgm:cxn modelId="{A518262C-2E0D-4753-A9D2-F54F44837FC6}" type="presParOf" srcId="{52EBF359-E588-49B3-AE95-FA2AD8DBD7F5}" destId="{361D001F-E469-442E-A6D2-F2EAD6D3699F}" srcOrd="15" destOrd="0" presId="urn:microsoft.com/office/officeart/2005/8/layout/list1"/>
    <dgm:cxn modelId="{3BDFB169-CF69-4E6F-9C4B-9423033EE290}" type="presParOf" srcId="{52EBF359-E588-49B3-AE95-FA2AD8DBD7F5}" destId="{867CE71E-4925-43CD-A54A-D4404981AAB2}" srcOrd="16" destOrd="0" presId="urn:microsoft.com/office/officeart/2005/8/layout/list1"/>
    <dgm:cxn modelId="{58564961-35D9-4F9E-A28C-232CBB2434EC}" type="presParOf" srcId="{867CE71E-4925-43CD-A54A-D4404981AAB2}" destId="{6B82EB89-4C4C-4412-9CAD-D5892A4BCEBE}" srcOrd="0" destOrd="0" presId="urn:microsoft.com/office/officeart/2005/8/layout/list1"/>
    <dgm:cxn modelId="{DF5E6665-74F2-40D4-9ABA-E8BCF77F9B83}" type="presParOf" srcId="{867CE71E-4925-43CD-A54A-D4404981AAB2}" destId="{2D624344-9EFA-424F-8245-A06A807E9B84}" srcOrd="1" destOrd="0" presId="urn:microsoft.com/office/officeart/2005/8/layout/list1"/>
    <dgm:cxn modelId="{A9B3B808-7EBC-40BA-82F8-4010E06D1154}" type="presParOf" srcId="{52EBF359-E588-49B3-AE95-FA2AD8DBD7F5}" destId="{80772CB2-B7C2-475C-95C9-5CB12ACCA3BF}" srcOrd="17" destOrd="0" presId="urn:microsoft.com/office/officeart/2005/8/layout/list1"/>
    <dgm:cxn modelId="{B12CC1A3-FACE-44A8-97F9-6B90B8CB8585}" type="presParOf" srcId="{52EBF359-E588-49B3-AE95-FA2AD8DBD7F5}" destId="{9B77ED53-06A6-4853-98D5-0872DAA595F7}" srcOrd="18" destOrd="0" presId="urn:microsoft.com/office/officeart/2005/8/layout/list1"/>
    <dgm:cxn modelId="{2E8B75CC-F011-44B1-B426-AA42B6788678}" type="presParOf" srcId="{52EBF359-E588-49B3-AE95-FA2AD8DBD7F5}" destId="{D8C45082-6184-4B1F-9CE9-C32D07DC2888}" srcOrd="19" destOrd="0" presId="urn:microsoft.com/office/officeart/2005/8/layout/list1"/>
    <dgm:cxn modelId="{A53CAE45-74A5-4B71-9197-5566F9001490}" type="presParOf" srcId="{52EBF359-E588-49B3-AE95-FA2AD8DBD7F5}" destId="{24FCB2F2-228F-407A-95B9-1E2D809BED15}" srcOrd="20" destOrd="0" presId="urn:microsoft.com/office/officeart/2005/8/layout/list1"/>
    <dgm:cxn modelId="{2B9D9C19-9B6C-4F98-B516-8D027EFAF1B9}" type="presParOf" srcId="{24FCB2F2-228F-407A-95B9-1E2D809BED15}" destId="{828A98C3-A614-4DC1-8EFB-82F840357E72}" srcOrd="0" destOrd="0" presId="urn:microsoft.com/office/officeart/2005/8/layout/list1"/>
    <dgm:cxn modelId="{9394D075-31DA-4163-ACB7-2883CE03B901}" type="presParOf" srcId="{24FCB2F2-228F-407A-95B9-1E2D809BED15}" destId="{94FD36B2-0682-4ECC-A41F-C589F24E8F35}" srcOrd="1" destOrd="0" presId="urn:microsoft.com/office/officeart/2005/8/layout/list1"/>
    <dgm:cxn modelId="{701F2D8B-609E-4E6E-B016-70E6BF994A64}" type="presParOf" srcId="{52EBF359-E588-49B3-AE95-FA2AD8DBD7F5}" destId="{B40E14BB-C87A-422D-9230-60EA01C6EDCE}" srcOrd="21" destOrd="0" presId="urn:microsoft.com/office/officeart/2005/8/layout/list1"/>
    <dgm:cxn modelId="{340E4FC1-4874-416B-BE46-92A020A593EE}" type="presParOf" srcId="{52EBF359-E588-49B3-AE95-FA2AD8DBD7F5}" destId="{9B248A76-783D-4115-8774-5E930FE536CA}" srcOrd="22" destOrd="0" presId="urn:microsoft.com/office/officeart/2005/8/layout/list1"/>
    <dgm:cxn modelId="{8430D268-FC4B-4276-9353-4B3EF9FD30C5}" type="presParOf" srcId="{52EBF359-E588-49B3-AE95-FA2AD8DBD7F5}" destId="{94662757-95E5-47A7-B5EB-CA2940F68CD7}" srcOrd="23" destOrd="0" presId="urn:microsoft.com/office/officeart/2005/8/layout/list1"/>
    <dgm:cxn modelId="{BFF57098-E7DB-4421-A4BC-F05C6FF5DA48}" type="presParOf" srcId="{52EBF359-E588-49B3-AE95-FA2AD8DBD7F5}" destId="{F7098FC5-4528-4B37-9A21-FA965E817A89}" srcOrd="24" destOrd="0" presId="urn:microsoft.com/office/officeart/2005/8/layout/list1"/>
    <dgm:cxn modelId="{50F16454-FC57-40E8-8693-0802DBFB4DC4}" type="presParOf" srcId="{F7098FC5-4528-4B37-9A21-FA965E817A89}" destId="{91909378-C0B5-43EC-8330-294DA2A5B6AD}" srcOrd="0" destOrd="0" presId="urn:microsoft.com/office/officeart/2005/8/layout/list1"/>
    <dgm:cxn modelId="{A4BF1E54-3A9F-4E2C-8FE3-8F07DCD3B001}" type="presParOf" srcId="{F7098FC5-4528-4B37-9A21-FA965E817A89}" destId="{E5D56090-9D29-4B3F-967B-58148910D1D8}" srcOrd="1" destOrd="0" presId="urn:microsoft.com/office/officeart/2005/8/layout/list1"/>
    <dgm:cxn modelId="{46233541-19A4-4F7F-9709-F38526195790}" type="presParOf" srcId="{52EBF359-E588-49B3-AE95-FA2AD8DBD7F5}" destId="{962F6046-CCD8-4AA5-BE87-EE1D8AFEEC60}" srcOrd="25" destOrd="0" presId="urn:microsoft.com/office/officeart/2005/8/layout/list1"/>
    <dgm:cxn modelId="{84C08321-F83B-4763-81AD-3859DB5BF8F3}" type="presParOf" srcId="{52EBF359-E588-49B3-AE95-FA2AD8DBD7F5}" destId="{26EB730F-ED3A-48FA-ADCE-5D8EEAA9AAD4}" srcOrd="26" destOrd="0" presId="urn:microsoft.com/office/officeart/2005/8/layout/list1"/>
    <dgm:cxn modelId="{6AF77B4F-CE78-44F4-8573-F71573F76E64}" type="presParOf" srcId="{52EBF359-E588-49B3-AE95-FA2AD8DBD7F5}" destId="{F93711D4-48DA-40BF-8CA6-04BD6A57C064}" srcOrd="27" destOrd="0" presId="urn:microsoft.com/office/officeart/2005/8/layout/list1"/>
    <dgm:cxn modelId="{D28482EF-DF62-406A-AEE5-37B33F1733C3}" type="presParOf" srcId="{52EBF359-E588-49B3-AE95-FA2AD8DBD7F5}" destId="{78ED3EA5-6BB2-48AE-B8A1-203058186E78}" srcOrd="28" destOrd="0" presId="urn:microsoft.com/office/officeart/2005/8/layout/list1"/>
    <dgm:cxn modelId="{96413C72-14A4-48CB-93FF-58EB369C7DDE}" type="presParOf" srcId="{78ED3EA5-6BB2-48AE-B8A1-203058186E78}" destId="{E31697DE-C9AF-4888-8796-012D20AAA242}" srcOrd="0" destOrd="0" presId="urn:microsoft.com/office/officeart/2005/8/layout/list1"/>
    <dgm:cxn modelId="{70C63B61-345D-4437-93C6-FDB5F88F9C95}" type="presParOf" srcId="{78ED3EA5-6BB2-48AE-B8A1-203058186E78}" destId="{20118772-0D60-4FDC-A273-181ACB18C39B}" srcOrd="1" destOrd="0" presId="urn:microsoft.com/office/officeart/2005/8/layout/list1"/>
    <dgm:cxn modelId="{3B57E08B-A870-470C-B151-D3416DCD9CFB}" type="presParOf" srcId="{52EBF359-E588-49B3-AE95-FA2AD8DBD7F5}" destId="{C24CCC18-13FF-4128-89EC-4482FED0A46A}" srcOrd="29" destOrd="0" presId="urn:microsoft.com/office/officeart/2005/8/layout/list1"/>
    <dgm:cxn modelId="{03E66381-9A3E-44BB-ACE5-CBFF37FDF638}" type="presParOf" srcId="{52EBF359-E588-49B3-AE95-FA2AD8DBD7F5}" destId="{E4195CC8-E693-44EC-BC00-7D6F467E2D3A}" srcOrd="30" destOrd="0" presId="urn:microsoft.com/office/officeart/2005/8/layout/list1"/>
    <dgm:cxn modelId="{65A52984-2102-4FB9-8F0B-C6785D6E3E1F}" type="presParOf" srcId="{52EBF359-E588-49B3-AE95-FA2AD8DBD7F5}" destId="{FDBAEB09-6339-4064-B873-3471E3C42235}" srcOrd="31" destOrd="0" presId="urn:microsoft.com/office/officeart/2005/8/layout/list1"/>
    <dgm:cxn modelId="{A574FB65-D4AF-417B-89A8-B0C1EEDF3D05}" type="presParOf" srcId="{52EBF359-E588-49B3-AE95-FA2AD8DBD7F5}" destId="{D98E0102-3C75-4548-A849-2A102B02DF52}" srcOrd="32" destOrd="0" presId="urn:microsoft.com/office/officeart/2005/8/layout/list1"/>
    <dgm:cxn modelId="{C99D2A7D-F37D-40BD-A805-B8A4DE362950}" type="presParOf" srcId="{D98E0102-3C75-4548-A849-2A102B02DF52}" destId="{8D9BB77B-7F89-4684-8297-2259B6F1DFF2}" srcOrd="0" destOrd="0" presId="urn:microsoft.com/office/officeart/2005/8/layout/list1"/>
    <dgm:cxn modelId="{D9106083-1D94-45E2-B3D5-C3B8599CB515}" type="presParOf" srcId="{D98E0102-3C75-4548-A849-2A102B02DF52}" destId="{1A06CCAE-E9DD-45B6-8E46-1625098FFF33}" srcOrd="1" destOrd="0" presId="urn:microsoft.com/office/officeart/2005/8/layout/list1"/>
    <dgm:cxn modelId="{0BA86642-2C80-4DA0-A3C2-ED751795E0F1}" type="presParOf" srcId="{52EBF359-E588-49B3-AE95-FA2AD8DBD7F5}" destId="{32675D5D-9877-4E8B-8247-9E91B5B95191}" srcOrd="33" destOrd="0" presId="urn:microsoft.com/office/officeart/2005/8/layout/list1"/>
    <dgm:cxn modelId="{116D38B3-E01C-4A68-AA34-532A4F1B0B57}" type="presParOf" srcId="{52EBF359-E588-49B3-AE95-FA2AD8DBD7F5}" destId="{27EB0036-D476-4C7E-BDC7-43E67D91A2A0}" srcOrd="34" destOrd="0" presId="urn:microsoft.com/office/officeart/2005/8/layout/list1"/>
    <dgm:cxn modelId="{8959B4CC-8EA0-4C85-9C76-A0126E384DB2}" type="presParOf" srcId="{52EBF359-E588-49B3-AE95-FA2AD8DBD7F5}" destId="{71320777-CA6B-44BA-9843-0400318A1402}" srcOrd="35" destOrd="0" presId="urn:microsoft.com/office/officeart/2005/8/layout/list1"/>
    <dgm:cxn modelId="{8DDD5046-5647-416E-8161-6B89ED389FBA}" type="presParOf" srcId="{52EBF359-E588-49B3-AE95-FA2AD8DBD7F5}" destId="{EE7EB782-3136-4308-917E-1CC6A5E1F181}" srcOrd="36" destOrd="0" presId="urn:microsoft.com/office/officeart/2005/8/layout/list1"/>
    <dgm:cxn modelId="{2A90FC46-5F12-487E-BD2E-C5DAC4C0E074}" type="presParOf" srcId="{EE7EB782-3136-4308-917E-1CC6A5E1F181}" destId="{A7DDA9C1-C34C-4ED4-9C97-5530E19923B9}" srcOrd="0" destOrd="0" presId="urn:microsoft.com/office/officeart/2005/8/layout/list1"/>
    <dgm:cxn modelId="{05AEC0BC-9528-470F-9879-E7EC917C46B7}" type="presParOf" srcId="{EE7EB782-3136-4308-917E-1CC6A5E1F181}" destId="{0D9D9321-134D-4F03-838F-D30B50EECC9F}" srcOrd="1" destOrd="0" presId="urn:microsoft.com/office/officeart/2005/8/layout/list1"/>
    <dgm:cxn modelId="{F292DFD3-EA14-4995-A1F2-A8096637024B}" type="presParOf" srcId="{52EBF359-E588-49B3-AE95-FA2AD8DBD7F5}" destId="{697C1B36-FCEA-427C-A924-ADA5242B0328}" srcOrd="37" destOrd="0" presId="urn:microsoft.com/office/officeart/2005/8/layout/list1"/>
    <dgm:cxn modelId="{A8EC9E2F-7CA6-4DFA-AFA5-E831EA8A5E04}" type="presParOf" srcId="{52EBF359-E588-49B3-AE95-FA2AD8DBD7F5}" destId="{6419E28F-548F-43BC-96B0-702977A8247E}" srcOrd="38"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FA2740-3E98-4918-9585-A3671C5D8C4D}" type="doc">
      <dgm:prSet loTypeId="urn:microsoft.com/office/officeart/2005/8/layout/gear1" loCatId="cycle" qsTypeId="urn:microsoft.com/office/officeart/2005/8/quickstyle/simple3" qsCatId="simple" csTypeId="urn:microsoft.com/office/officeart/2005/8/colors/colorful1" csCatId="colorful" phldr="1"/>
      <dgm:spPr/>
    </dgm:pt>
    <dgm:pt modelId="{31359B33-6E38-4AA2-BCCD-563F65522C45}">
      <dgm:prSet phldrT="[Texto]" custT="1"/>
      <dgm:spPr/>
      <dgm:t>
        <a:bodyPr/>
        <a:lstStyle/>
        <a:p>
          <a:r>
            <a:rPr lang="es-AR" sz="1000" b="1">
              <a:latin typeface="Arial" panose="020B0604020202020204" pitchFamily="34" charset="0"/>
              <a:cs typeface="Arial" panose="020B0604020202020204" pitchFamily="34" charset="0"/>
            </a:rPr>
            <a:t>Enfermedades del sistema circulatorio. </a:t>
          </a:r>
        </a:p>
      </dgm:t>
    </dgm:pt>
    <dgm:pt modelId="{90757DB7-6A74-44C7-9E3A-E9E9DCBAA19B}" type="parTrans" cxnId="{95D0BADD-F07A-4008-BFAC-59383E49F054}">
      <dgm:prSet/>
      <dgm:spPr/>
      <dgm:t>
        <a:bodyPr/>
        <a:lstStyle/>
        <a:p>
          <a:endParaRPr lang="es-AR"/>
        </a:p>
      </dgm:t>
    </dgm:pt>
    <dgm:pt modelId="{3F759339-5DB7-4A89-BEA2-DD859B142717}" type="sibTrans" cxnId="{95D0BADD-F07A-4008-BFAC-59383E49F054}">
      <dgm:prSet/>
      <dgm:spPr/>
      <dgm:t>
        <a:bodyPr/>
        <a:lstStyle/>
        <a:p>
          <a:endParaRPr lang="es-AR"/>
        </a:p>
      </dgm:t>
    </dgm:pt>
    <dgm:pt modelId="{6AE89B95-AEDD-499A-85E4-7856DF9FE82D}">
      <dgm:prSet phldrT="[Texto]" custT="1"/>
      <dgm:spPr/>
      <dgm:t>
        <a:bodyPr/>
        <a:lstStyle/>
        <a:p>
          <a:r>
            <a:rPr lang="es-AR" sz="1000" b="1">
              <a:latin typeface="Arial" panose="020B0604020202020204" pitchFamily="34" charset="0"/>
              <a:cs typeface="Arial" panose="020B0604020202020204" pitchFamily="34" charset="0"/>
            </a:rPr>
            <a:t>Tumores (neoplasias).</a:t>
          </a:r>
        </a:p>
      </dgm:t>
    </dgm:pt>
    <dgm:pt modelId="{8BE1E261-FD09-49C9-A894-F43D3358C9DE}" type="parTrans" cxnId="{8D9046FC-2882-480D-913A-B453A813EBF5}">
      <dgm:prSet/>
      <dgm:spPr/>
      <dgm:t>
        <a:bodyPr/>
        <a:lstStyle/>
        <a:p>
          <a:endParaRPr lang="es-AR"/>
        </a:p>
      </dgm:t>
    </dgm:pt>
    <dgm:pt modelId="{D10D8E52-C13D-4E3F-A1FF-A1C059BF8292}" type="sibTrans" cxnId="{8D9046FC-2882-480D-913A-B453A813EBF5}">
      <dgm:prSet/>
      <dgm:spPr/>
      <dgm:t>
        <a:bodyPr/>
        <a:lstStyle/>
        <a:p>
          <a:endParaRPr lang="es-AR"/>
        </a:p>
      </dgm:t>
    </dgm:pt>
    <dgm:pt modelId="{DACCE40F-1590-4A7A-83C7-FAC66A099F50}">
      <dgm:prSet phldrT="[Texto]" custT="1"/>
      <dgm:spPr/>
      <dgm:t>
        <a:bodyPr/>
        <a:lstStyle/>
        <a:p>
          <a:r>
            <a:rPr lang="es-AR" sz="1000" b="1">
              <a:latin typeface="Arial" panose="020B0604020202020204" pitchFamily="34" charset="0"/>
              <a:cs typeface="Arial" panose="020B0604020202020204" pitchFamily="34" charset="0"/>
            </a:rPr>
            <a:t>Enfermedades endócrinas, nutricionales y metabólicas. </a:t>
          </a:r>
        </a:p>
      </dgm:t>
    </dgm:pt>
    <dgm:pt modelId="{E26754DB-D340-4BA5-89EB-D0FC338F0A3D}" type="parTrans" cxnId="{EB823EF9-09BB-4960-BAB5-47BAB4AC4EE6}">
      <dgm:prSet/>
      <dgm:spPr/>
      <dgm:t>
        <a:bodyPr/>
        <a:lstStyle/>
        <a:p>
          <a:endParaRPr lang="es-AR"/>
        </a:p>
      </dgm:t>
    </dgm:pt>
    <dgm:pt modelId="{037CFC4C-55BC-4143-905A-17E1464AD93B}" type="sibTrans" cxnId="{EB823EF9-09BB-4960-BAB5-47BAB4AC4EE6}">
      <dgm:prSet/>
      <dgm:spPr/>
      <dgm:t>
        <a:bodyPr/>
        <a:lstStyle/>
        <a:p>
          <a:endParaRPr lang="es-AR"/>
        </a:p>
      </dgm:t>
    </dgm:pt>
    <dgm:pt modelId="{6F467340-682C-448E-B103-C4215B56FA63}" type="pres">
      <dgm:prSet presAssocID="{73FA2740-3E98-4918-9585-A3671C5D8C4D}" presName="composite" presStyleCnt="0">
        <dgm:presLayoutVars>
          <dgm:chMax val="3"/>
          <dgm:animLvl val="lvl"/>
          <dgm:resizeHandles val="exact"/>
        </dgm:presLayoutVars>
      </dgm:prSet>
      <dgm:spPr/>
    </dgm:pt>
    <dgm:pt modelId="{49BBBF57-BBB7-4A87-9763-1918E937A45E}" type="pres">
      <dgm:prSet presAssocID="{31359B33-6E38-4AA2-BCCD-563F65522C45}" presName="gear1" presStyleLbl="node1" presStyleIdx="0" presStyleCnt="3" custLinFactNeighborX="13594" custLinFactNeighborY="0">
        <dgm:presLayoutVars>
          <dgm:chMax val="1"/>
          <dgm:bulletEnabled val="1"/>
        </dgm:presLayoutVars>
      </dgm:prSet>
      <dgm:spPr/>
      <dgm:t>
        <a:bodyPr/>
        <a:lstStyle/>
        <a:p>
          <a:endParaRPr lang="es-MX"/>
        </a:p>
      </dgm:t>
    </dgm:pt>
    <dgm:pt modelId="{888B3F24-A80B-40FD-9767-B8A630AC6DB8}" type="pres">
      <dgm:prSet presAssocID="{31359B33-6E38-4AA2-BCCD-563F65522C45}" presName="gear1srcNode" presStyleLbl="node1" presStyleIdx="0" presStyleCnt="3"/>
      <dgm:spPr/>
      <dgm:t>
        <a:bodyPr/>
        <a:lstStyle/>
        <a:p>
          <a:endParaRPr lang="es-MX"/>
        </a:p>
      </dgm:t>
    </dgm:pt>
    <dgm:pt modelId="{10E3E389-4688-43BB-8A31-C6C414671F38}" type="pres">
      <dgm:prSet presAssocID="{31359B33-6E38-4AA2-BCCD-563F65522C45}" presName="gear1dstNode" presStyleLbl="node1" presStyleIdx="0" presStyleCnt="3"/>
      <dgm:spPr/>
      <dgm:t>
        <a:bodyPr/>
        <a:lstStyle/>
        <a:p>
          <a:endParaRPr lang="es-MX"/>
        </a:p>
      </dgm:t>
    </dgm:pt>
    <dgm:pt modelId="{EB5673C4-A644-4308-9388-760D5F186F18}" type="pres">
      <dgm:prSet presAssocID="{DACCE40F-1590-4A7A-83C7-FAC66A099F50}" presName="gear2" presStyleLbl="node1" presStyleIdx="1" presStyleCnt="3" custScaleX="143412" custScaleY="112283" custLinFactNeighborX="-21028" custLinFactNeighborY="10125">
        <dgm:presLayoutVars>
          <dgm:chMax val="1"/>
          <dgm:bulletEnabled val="1"/>
        </dgm:presLayoutVars>
      </dgm:prSet>
      <dgm:spPr/>
      <dgm:t>
        <a:bodyPr/>
        <a:lstStyle/>
        <a:p>
          <a:endParaRPr lang="es-MX"/>
        </a:p>
      </dgm:t>
    </dgm:pt>
    <dgm:pt modelId="{44BD2082-8DFA-4986-BD9E-6C9DDB468EE1}" type="pres">
      <dgm:prSet presAssocID="{DACCE40F-1590-4A7A-83C7-FAC66A099F50}" presName="gear2srcNode" presStyleLbl="node1" presStyleIdx="1" presStyleCnt="3"/>
      <dgm:spPr/>
      <dgm:t>
        <a:bodyPr/>
        <a:lstStyle/>
        <a:p>
          <a:endParaRPr lang="es-MX"/>
        </a:p>
      </dgm:t>
    </dgm:pt>
    <dgm:pt modelId="{DD436365-14EF-431E-A551-CFF571F4EAB0}" type="pres">
      <dgm:prSet presAssocID="{DACCE40F-1590-4A7A-83C7-FAC66A099F50}" presName="gear2dstNode" presStyleLbl="node1" presStyleIdx="1" presStyleCnt="3"/>
      <dgm:spPr/>
      <dgm:t>
        <a:bodyPr/>
        <a:lstStyle/>
        <a:p>
          <a:endParaRPr lang="es-MX"/>
        </a:p>
      </dgm:t>
    </dgm:pt>
    <dgm:pt modelId="{0EE5BE83-139C-4E5F-AE12-499B937D7463}" type="pres">
      <dgm:prSet presAssocID="{6AE89B95-AEDD-499A-85E4-7856DF9FE82D}" presName="gear3" presStyleLbl="node1" presStyleIdx="2" presStyleCnt="3" custScaleX="109548" custScaleY="113201"/>
      <dgm:spPr/>
      <dgm:t>
        <a:bodyPr/>
        <a:lstStyle/>
        <a:p>
          <a:endParaRPr lang="es-MX"/>
        </a:p>
      </dgm:t>
    </dgm:pt>
    <dgm:pt modelId="{F1FFE3B9-4351-4ABF-81B4-D61652045FE5}" type="pres">
      <dgm:prSet presAssocID="{6AE89B95-AEDD-499A-85E4-7856DF9FE82D}" presName="gear3tx" presStyleLbl="node1" presStyleIdx="2" presStyleCnt="3">
        <dgm:presLayoutVars>
          <dgm:chMax val="1"/>
          <dgm:bulletEnabled val="1"/>
        </dgm:presLayoutVars>
      </dgm:prSet>
      <dgm:spPr/>
      <dgm:t>
        <a:bodyPr/>
        <a:lstStyle/>
        <a:p>
          <a:endParaRPr lang="es-MX"/>
        </a:p>
      </dgm:t>
    </dgm:pt>
    <dgm:pt modelId="{86093460-4EFF-4CF7-B1F1-2C46E9405BA5}" type="pres">
      <dgm:prSet presAssocID="{6AE89B95-AEDD-499A-85E4-7856DF9FE82D}" presName="gear3srcNode" presStyleLbl="node1" presStyleIdx="2" presStyleCnt="3"/>
      <dgm:spPr/>
      <dgm:t>
        <a:bodyPr/>
        <a:lstStyle/>
        <a:p>
          <a:endParaRPr lang="es-MX"/>
        </a:p>
      </dgm:t>
    </dgm:pt>
    <dgm:pt modelId="{EADFABE7-CF6E-4CE1-AAFE-995C73D03818}" type="pres">
      <dgm:prSet presAssocID="{6AE89B95-AEDD-499A-85E4-7856DF9FE82D}" presName="gear3dstNode" presStyleLbl="node1" presStyleIdx="2" presStyleCnt="3"/>
      <dgm:spPr/>
      <dgm:t>
        <a:bodyPr/>
        <a:lstStyle/>
        <a:p>
          <a:endParaRPr lang="es-MX"/>
        </a:p>
      </dgm:t>
    </dgm:pt>
    <dgm:pt modelId="{55285846-73D6-46D7-9EEC-E79CB2512264}" type="pres">
      <dgm:prSet presAssocID="{3F759339-5DB7-4A89-BEA2-DD859B142717}" presName="connector1" presStyleLbl="sibTrans2D1" presStyleIdx="0" presStyleCnt="3" custLinFactNeighborX="7965"/>
      <dgm:spPr/>
      <dgm:t>
        <a:bodyPr/>
        <a:lstStyle/>
        <a:p>
          <a:endParaRPr lang="es-MX"/>
        </a:p>
      </dgm:t>
    </dgm:pt>
    <dgm:pt modelId="{1E795F09-6365-4651-8FCD-1731C7CA4968}" type="pres">
      <dgm:prSet presAssocID="{037CFC4C-55BC-4143-905A-17E1464AD93B}" presName="connector2" presStyleLbl="sibTrans2D1" presStyleIdx="1" presStyleCnt="3" custLinFactNeighborX="-27407" custLinFactNeighborY="9136"/>
      <dgm:spPr/>
      <dgm:t>
        <a:bodyPr/>
        <a:lstStyle/>
        <a:p>
          <a:endParaRPr lang="es-MX"/>
        </a:p>
      </dgm:t>
    </dgm:pt>
    <dgm:pt modelId="{5E9E3F2C-CDD7-4A5D-A099-BF2B933B0F1C}" type="pres">
      <dgm:prSet presAssocID="{D10D8E52-C13D-4E3F-A1FF-A1C059BF8292}" presName="connector3" presStyleLbl="sibTrans2D1" presStyleIdx="2" presStyleCnt="3"/>
      <dgm:spPr/>
      <dgm:t>
        <a:bodyPr/>
        <a:lstStyle/>
        <a:p>
          <a:endParaRPr lang="es-MX"/>
        </a:p>
      </dgm:t>
    </dgm:pt>
  </dgm:ptLst>
  <dgm:cxnLst>
    <dgm:cxn modelId="{95D0BADD-F07A-4008-BFAC-59383E49F054}" srcId="{73FA2740-3E98-4918-9585-A3671C5D8C4D}" destId="{31359B33-6E38-4AA2-BCCD-563F65522C45}" srcOrd="0" destOrd="0" parTransId="{90757DB7-6A74-44C7-9E3A-E9E9DCBAA19B}" sibTransId="{3F759339-5DB7-4A89-BEA2-DD859B142717}"/>
    <dgm:cxn modelId="{CB1A3B8B-DD58-4130-8F8D-C7F12B8027D0}" type="presOf" srcId="{6AE89B95-AEDD-499A-85E4-7856DF9FE82D}" destId="{86093460-4EFF-4CF7-B1F1-2C46E9405BA5}" srcOrd="2" destOrd="0" presId="urn:microsoft.com/office/officeart/2005/8/layout/gear1"/>
    <dgm:cxn modelId="{9AEF7F41-8C70-4574-A5D9-04FA3B5A038A}" type="presOf" srcId="{31359B33-6E38-4AA2-BCCD-563F65522C45}" destId="{49BBBF57-BBB7-4A87-9763-1918E937A45E}" srcOrd="0" destOrd="0" presId="urn:microsoft.com/office/officeart/2005/8/layout/gear1"/>
    <dgm:cxn modelId="{5FCFB6DB-7C43-4EE7-80E3-48BC093C82B6}" type="presOf" srcId="{DACCE40F-1590-4A7A-83C7-FAC66A099F50}" destId="{44BD2082-8DFA-4986-BD9E-6C9DDB468EE1}" srcOrd="1" destOrd="0" presId="urn:microsoft.com/office/officeart/2005/8/layout/gear1"/>
    <dgm:cxn modelId="{82D8A2FC-56D4-4991-AD0B-CC4813A9FDDF}" type="presOf" srcId="{3F759339-5DB7-4A89-BEA2-DD859B142717}" destId="{55285846-73D6-46D7-9EEC-E79CB2512264}" srcOrd="0" destOrd="0" presId="urn:microsoft.com/office/officeart/2005/8/layout/gear1"/>
    <dgm:cxn modelId="{EB823EF9-09BB-4960-BAB5-47BAB4AC4EE6}" srcId="{73FA2740-3E98-4918-9585-A3671C5D8C4D}" destId="{DACCE40F-1590-4A7A-83C7-FAC66A099F50}" srcOrd="1" destOrd="0" parTransId="{E26754DB-D340-4BA5-89EB-D0FC338F0A3D}" sibTransId="{037CFC4C-55BC-4143-905A-17E1464AD93B}"/>
    <dgm:cxn modelId="{93C35D4E-7599-4155-BC2E-97EA6B167B88}" type="presOf" srcId="{DACCE40F-1590-4A7A-83C7-FAC66A099F50}" destId="{DD436365-14EF-431E-A551-CFF571F4EAB0}" srcOrd="2" destOrd="0" presId="urn:microsoft.com/office/officeart/2005/8/layout/gear1"/>
    <dgm:cxn modelId="{188D6236-F8C7-4ED4-B213-1509FEBF2E6C}" type="presOf" srcId="{31359B33-6E38-4AA2-BCCD-563F65522C45}" destId="{10E3E389-4688-43BB-8A31-C6C414671F38}" srcOrd="2" destOrd="0" presId="urn:microsoft.com/office/officeart/2005/8/layout/gear1"/>
    <dgm:cxn modelId="{D4E10C9B-E7B0-4928-B8DF-98D253DF797E}" type="presOf" srcId="{6AE89B95-AEDD-499A-85E4-7856DF9FE82D}" destId="{F1FFE3B9-4351-4ABF-81B4-D61652045FE5}" srcOrd="1" destOrd="0" presId="urn:microsoft.com/office/officeart/2005/8/layout/gear1"/>
    <dgm:cxn modelId="{BD7972A6-EC3B-4E79-A656-0B9865E8BD02}" type="presOf" srcId="{037CFC4C-55BC-4143-905A-17E1464AD93B}" destId="{1E795F09-6365-4651-8FCD-1731C7CA4968}" srcOrd="0" destOrd="0" presId="urn:microsoft.com/office/officeart/2005/8/layout/gear1"/>
    <dgm:cxn modelId="{9BBDA4F1-865E-4CD2-A5F7-F71DCB09FC08}" type="presOf" srcId="{6AE89B95-AEDD-499A-85E4-7856DF9FE82D}" destId="{EADFABE7-CF6E-4CE1-AAFE-995C73D03818}" srcOrd="3" destOrd="0" presId="urn:microsoft.com/office/officeart/2005/8/layout/gear1"/>
    <dgm:cxn modelId="{8D9046FC-2882-480D-913A-B453A813EBF5}" srcId="{73FA2740-3E98-4918-9585-A3671C5D8C4D}" destId="{6AE89B95-AEDD-499A-85E4-7856DF9FE82D}" srcOrd="2" destOrd="0" parTransId="{8BE1E261-FD09-49C9-A894-F43D3358C9DE}" sibTransId="{D10D8E52-C13D-4E3F-A1FF-A1C059BF8292}"/>
    <dgm:cxn modelId="{403D28FC-3A15-45A4-8A7F-FF6D42D73C0D}" type="presOf" srcId="{73FA2740-3E98-4918-9585-A3671C5D8C4D}" destId="{6F467340-682C-448E-B103-C4215B56FA63}" srcOrd="0" destOrd="0" presId="urn:microsoft.com/office/officeart/2005/8/layout/gear1"/>
    <dgm:cxn modelId="{C62B8FBA-32CD-4025-8C50-245FB0F59D69}" type="presOf" srcId="{DACCE40F-1590-4A7A-83C7-FAC66A099F50}" destId="{EB5673C4-A644-4308-9388-760D5F186F18}" srcOrd="0" destOrd="0" presId="urn:microsoft.com/office/officeart/2005/8/layout/gear1"/>
    <dgm:cxn modelId="{E02CC065-1E8C-4CF1-A1BC-D8AD57D43291}" type="presOf" srcId="{6AE89B95-AEDD-499A-85E4-7856DF9FE82D}" destId="{0EE5BE83-139C-4E5F-AE12-499B937D7463}" srcOrd="0" destOrd="0" presId="urn:microsoft.com/office/officeart/2005/8/layout/gear1"/>
    <dgm:cxn modelId="{9317C082-7904-4D8B-847E-1CECC0A07D53}" type="presOf" srcId="{D10D8E52-C13D-4E3F-A1FF-A1C059BF8292}" destId="{5E9E3F2C-CDD7-4A5D-A099-BF2B933B0F1C}" srcOrd="0" destOrd="0" presId="urn:microsoft.com/office/officeart/2005/8/layout/gear1"/>
    <dgm:cxn modelId="{F3760364-7C8D-4EAE-9562-C3B8771C42B3}" type="presOf" srcId="{31359B33-6E38-4AA2-BCCD-563F65522C45}" destId="{888B3F24-A80B-40FD-9767-B8A630AC6DB8}" srcOrd="1" destOrd="0" presId="urn:microsoft.com/office/officeart/2005/8/layout/gear1"/>
    <dgm:cxn modelId="{8D7C3F6A-70E8-48A1-B9B7-B8AA5762A8C3}" type="presParOf" srcId="{6F467340-682C-448E-B103-C4215B56FA63}" destId="{49BBBF57-BBB7-4A87-9763-1918E937A45E}" srcOrd="0" destOrd="0" presId="urn:microsoft.com/office/officeart/2005/8/layout/gear1"/>
    <dgm:cxn modelId="{B3B63DFE-9DAE-42E5-BEDE-90C79FD1383D}" type="presParOf" srcId="{6F467340-682C-448E-B103-C4215B56FA63}" destId="{888B3F24-A80B-40FD-9767-B8A630AC6DB8}" srcOrd="1" destOrd="0" presId="urn:microsoft.com/office/officeart/2005/8/layout/gear1"/>
    <dgm:cxn modelId="{04F65C22-D5E9-4C37-A84E-31DC941C3C1A}" type="presParOf" srcId="{6F467340-682C-448E-B103-C4215B56FA63}" destId="{10E3E389-4688-43BB-8A31-C6C414671F38}" srcOrd="2" destOrd="0" presId="urn:microsoft.com/office/officeart/2005/8/layout/gear1"/>
    <dgm:cxn modelId="{6DB9CD2C-5C1C-44DE-83D7-9C52E6C91612}" type="presParOf" srcId="{6F467340-682C-448E-B103-C4215B56FA63}" destId="{EB5673C4-A644-4308-9388-760D5F186F18}" srcOrd="3" destOrd="0" presId="urn:microsoft.com/office/officeart/2005/8/layout/gear1"/>
    <dgm:cxn modelId="{F4CDEEED-BF8D-428A-91CD-BD3D9939D0FC}" type="presParOf" srcId="{6F467340-682C-448E-B103-C4215B56FA63}" destId="{44BD2082-8DFA-4986-BD9E-6C9DDB468EE1}" srcOrd="4" destOrd="0" presId="urn:microsoft.com/office/officeart/2005/8/layout/gear1"/>
    <dgm:cxn modelId="{7F45391C-AD4A-4925-87FB-2348EF21A02F}" type="presParOf" srcId="{6F467340-682C-448E-B103-C4215B56FA63}" destId="{DD436365-14EF-431E-A551-CFF571F4EAB0}" srcOrd="5" destOrd="0" presId="urn:microsoft.com/office/officeart/2005/8/layout/gear1"/>
    <dgm:cxn modelId="{82206670-2C6C-4A61-8A1F-6961DCC817EF}" type="presParOf" srcId="{6F467340-682C-448E-B103-C4215B56FA63}" destId="{0EE5BE83-139C-4E5F-AE12-499B937D7463}" srcOrd="6" destOrd="0" presId="urn:microsoft.com/office/officeart/2005/8/layout/gear1"/>
    <dgm:cxn modelId="{3864958F-B5F6-4092-AB7D-7394DBB0BEFA}" type="presParOf" srcId="{6F467340-682C-448E-B103-C4215B56FA63}" destId="{F1FFE3B9-4351-4ABF-81B4-D61652045FE5}" srcOrd="7" destOrd="0" presId="urn:microsoft.com/office/officeart/2005/8/layout/gear1"/>
    <dgm:cxn modelId="{F0284505-620E-43DE-8FEF-33C9D3EA6622}" type="presParOf" srcId="{6F467340-682C-448E-B103-C4215B56FA63}" destId="{86093460-4EFF-4CF7-B1F1-2C46E9405BA5}" srcOrd="8" destOrd="0" presId="urn:microsoft.com/office/officeart/2005/8/layout/gear1"/>
    <dgm:cxn modelId="{7573D54A-3BA3-4E0A-B58C-1F0CAC228E15}" type="presParOf" srcId="{6F467340-682C-448E-B103-C4215B56FA63}" destId="{EADFABE7-CF6E-4CE1-AAFE-995C73D03818}" srcOrd="9" destOrd="0" presId="urn:microsoft.com/office/officeart/2005/8/layout/gear1"/>
    <dgm:cxn modelId="{7978A3E0-EA0A-4279-B3D2-F4EA471750C3}" type="presParOf" srcId="{6F467340-682C-448E-B103-C4215B56FA63}" destId="{55285846-73D6-46D7-9EEC-E79CB2512264}" srcOrd="10" destOrd="0" presId="urn:microsoft.com/office/officeart/2005/8/layout/gear1"/>
    <dgm:cxn modelId="{EC2030CF-5A44-4C7C-8BF9-6710814ADA30}" type="presParOf" srcId="{6F467340-682C-448E-B103-C4215B56FA63}" destId="{1E795F09-6365-4651-8FCD-1731C7CA4968}" srcOrd="11" destOrd="0" presId="urn:microsoft.com/office/officeart/2005/8/layout/gear1"/>
    <dgm:cxn modelId="{BE352EB5-F869-4949-A4A3-582577FD48CC}" type="presParOf" srcId="{6F467340-682C-448E-B103-C4215B56FA63}" destId="{5E9E3F2C-CDD7-4A5D-A099-BF2B933B0F1C}" srcOrd="12" destOrd="0" presId="urn:microsoft.com/office/officeart/2005/8/layout/gear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0F7D6E-7AC1-44BA-B770-D5A88F2741D3}" type="doc">
      <dgm:prSet loTypeId="urn:microsoft.com/office/officeart/2008/layout/AlternatingPictureBlocks" loCatId="list" qsTypeId="urn:microsoft.com/office/officeart/2005/8/quickstyle/simple2" qsCatId="simple" csTypeId="urn:microsoft.com/office/officeart/2005/8/colors/accent3_1" csCatId="accent3" phldr="1"/>
      <dgm:spPr/>
    </dgm:pt>
    <dgm:pt modelId="{180E13D5-F16E-430D-AE97-CBEF1B399178}">
      <dgm:prSet phldrT="[Texto]" custT="1"/>
      <dgm:spPr/>
      <dgm:t>
        <a:bodyPr/>
        <a:lstStyle/>
        <a:p>
          <a:pPr algn="ctr">
            <a:buFont typeface="Arial" panose="020B0604020202020204" pitchFamily="34" charset="0"/>
            <a:buChar char="-"/>
          </a:pPr>
          <a:r>
            <a:rPr lang="es-MX" sz="1100">
              <a:latin typeface="Arial" panose="020B0604020202020204" pitchFamily="34" charset="0"/>
              <a:cs typeface="Arial" panose="020B0604020202020204" pitchFamily="34" charset="0"/>
            </a:rPr>
            <a:t>Vocación industrial, comercial, turística, cultural y de servicios.</a:t>
          </a:r>
          <a:endParaRPr lang="es-AR" sz="1100">
            <a:latin typeface="Arial" panose="020B0604020202020204" pitchFamily="34" charset="0"/>
            <a:cs typeface="Arial" panose="020B0604020202020204" pitchFamily="34" charset="0"/>
          </a:endParaRPr>
        </a:p>
      </dgm:t>
    </dgm:pt>
    <dgm:pt modelId="{2F7A3891-E71D-4F93-9F2D-1296C7733C8C}" type="parTrans" cxnId="{D6B9E95E-EADE-4B2C-BCCC-2A3C587EAB00}">
      <dgm:prSet/>
      <dgm:spPr/>
      <dgm:t>
        <a:bodyPr/>
        <a:lstStyle/>
        <a:p>
          <a:pPr algn="ctr"/>
          <a:endParaRPr lang="es-AR"/>
        </a:p>
      </dgm:t>
    </dgm:pt>
    <dgm:pt modelId="{1282E7AD-B428-4BD3-A891-C0BC814F51E7}" type="sibTrans" cxnId="{D6B9E95E-EADE-4B2C-BCCC-2A3C587EAB00}">
      <dgm:prSet/>
      <dgm:spPr/>
      <dgm:t>
        <a:bodyPr/>
        <a:lstStyle/>
        <a:p>
          <a:pPr algn="ctr"/>
          <a:endParaRPr lang="es-AR"/>
        </a:p>
      </dgm:t>
    </dgm:pt>
    <dgm:pt modelId="{EA546394-E409-45FF-ADFF-EF20A0599EC3}">
      <dgm:prSet phldrT="[Texto]" custT="1"/>
      <dgm:spPr/>
      <dgm:t>
        <a:bodyPr/>
        <a:lstStyle/>
        <a:p>
          <a:pPr algn="ctr">
            <a:buFont typeface="Arial" panose="020B0604020202020204" pitchFamily="34" charset="0"/>
            <a:buChar char="-"/>
          </a:pPr>
          <a:r>
            <a:rPr lang="es-MX" sz="1100">
              <a:latin typeface="Arial" panose="020B0604020202020204" pitchFamily="34" charset="0"/>
              <a:cs typeface="Arial" panose="020B0604020202020204" pitchFamily="34" charset="0"/>
            </a:rPr>
            <a:t>CONECTIVIDAD.</a:t>
          </a:r>
          <a:endParaRPr lang="es-AR" sz="1100">
            <a:latin typeface="Arial" panose="020B0604020202020204" pitchFamily="34" charset="0"/>
            <a:cs typeface="Arial" panose="020B0604020202020204" pitchFamily="34" charset="0"/>
          </a:endParaRPr>
        </a:p>
      </dgm:t>
    </dgm:pt>
    <dgm:pt modelId="{2178FE15-32DC-447B-A646-0E7BB222BBA2}" type="sibTrans" cxnId="{7817516B-4A6C-4B5E-A808-D264E89DC50B}">
      <dgm:prSet/>
      <dgm:spPr/>
      <dgm:t>
        <a:bodyPr/>
        <a:lstStyle/>
        <a:p>
          <a:pPr algn="ctr"/>
          <a:endParaRPr lang="es-AR"/>
        </a:p>
      </dgm:t>
    </dgm:pt>
    <dgm:pt modelId="{110169BA-5965-44D7-91CA-3250171F48E2}" type="parTrans" cxnId="{7817516B-4A6C-4B5E-A808-D264E89DC50B}">
      <dgm:prSet/>
      <dgm:spPr/>
      <dgm:t>
        <a:bodyPr/>
        <a:lstStyle/>
        <a:p>
          <a:pPr algn="ctr"/>
          <a:endParaRPr lang="es-AR"/>
        </a:p>
      </dgm:t>
    </dgm:pt>
    <dgm:pt modelId="{35B604E5-7CC4-4F0C-971E-FB6F70547668}">
      <dgm:prSet phldrT="[Texto]" custT="1"/>
      <dgm:spPr/>
      <dgm:t>
        <a:bodyPr/>
        <a:lstStyle/>
        <a:p>
          <a:pPr algn="ctr"/>
          <a:r>
            <a:rPr lang="es-MX" sz="1100">
              <a:latin typeface="Arial" panose="020B0604020202020204" pitchFamily="34" charset="0"/>
              <a:cs typeface="Arial" panose="020B0604020202020204" pitchFamily="34" charset="0"/>
            </a:rPr>
            <a:t>Modernización, ampliar y dar mantenimiento a la infraestructura.</a:t>
          </a:r>
          <a:endParaRPr lang="es-AR" sz="1100">
            <a:latin typeface="Arial" panose="020B0604020202020204" pitchFamily="34" charset="0"/>
            <a:cs typeface="Arial" panose="020B0604020202020204" pitchFamily="34" charset="0"/>
          </a:endParaRPr>
        </a:p>
      </dgm:t>
    </dgm:pt>
    <dgm:pt modelId="{9504B64A-F2E7-4148-9313-DDE905509C10}" type="sibTrans" cxnId="{4872DEBB-5876-49A3-A211-DAC0ADBA0C0D}">
      <dgm:prSet/>
      <dgm:spPr/>
      <dgm:t>
        <a:bodyPr/>
        <a:lstStyle/>
        <a:p>
          <a:pPr algn="ctr"/>
          <a:endParaRPr lang="es-AR"/>
        </a:p>
      </dgm:t>
    </dgm:pt>
    <dgm:pt modelId="{58C1FFEC-034E-4049-8FC4-20543891E5C8}" type="parTrans" cxnId="{4872DEBB-5876-49A3-A211-DAC0ADBA0C0D}">
      <dgm:prSet/>
      <dgm:spPr/>
      <dgm:t>
        <a:bodyPr/>
        <a:lstStyle/>
        <a:p>
          <a:pPr algn="ctr"/>
          <a:endParaRPr lang="es-AR"/>
        </a:p>
      </dgm:t>
    </dgm:pt>
    <dgm:pt modelId="{BA27CA2B-8EAE-4C1A-8FF0-C9A5C533EE41}">
      <dgm:prSet phldrT="[Texto]" custT="1"/>
      <dgm:spPr/>
      <dgm:t>
        <a:bodyPr/>
        <a:lstStyle/>
        <a:p>
          <a:pPr algn="ctr"/>
          <a:r>
            <a:rPr lang="es-MX" sz="1100">
              <a:latin typeface="Arial" panose="020B0604020202020204" pitchFamily="34" charset="0"/>
              <a:cs typeface="Arial" panose="020B0604020202020204" pitchFamily="34" charset="0"/>
            </a:rPr>
            <a:t>Reconstrucción de carreteras.</a:t>
          </a:r>
          <a:endParaRPr lang="es-AR" sz="1100">
            <a:latin typeface="Arial" panose="020B0604020202020204" pitchFamily="34" charset="0"/>
            <a:cs typeface="Arial" panose="020B0604020202020204" pitchFamily="34" charset="0"/>
          </a:endParaRPr>
        </a:p>
      </dgm:t>
    </dgm:pt>
    <dgm:pt modelId="{2C5A4234-FA93-4E6B-996A-D6813BC237D3}" type="parTrans" cxnId="{52E12C5E-DC67-44C6-AF6F-9EBFE3007F89}">
      <dgm:prSet/>
      <dgm:spPr/>
      <dgm:t>
        <a:bodyPr/>
        <a:lstStyle/>
        <a:p>
          <a:pPr algn="ctr"/>
          <a:endParaRPr lang="es-AR"/>
        </a:p>
      </dgm:t>
    </dgm:pt>
    <dgm:pt modelId="{922BB350-8006-4374-9098-D95E878E6D7D}" type="sibTrans" cxnId="{52E12C5E-DC67-44C6-AF6F-9EBFE3007F89}">
      <dgm:prSet/>
      <dgm:spPr/>
      <dgm:t>
        <a:bodyPr/>
        <a:lstStyle/>
        <a:p>
          <a:pPr algn="ctr"/>
          <a:endParaRPr lang="es-AR"/>
        </a:p>
      </dgm:t>
    </dgm:pt>
    <dgm:pt modelId="{A20A8C4F-52D7-4A77-991B-BA28F1864391}" type="pres">
      <dgm:prSet presAssocID="{770F7D6E-7AC1-44BA-B770-D5A88F2741D3}" presName="linearFlow" presStyleCnt="0">
        <dgm:presLayoutVars>
          <dgm:dir/>
          <dgm:resizeHandles val="exact"/>
        </dgm:presLayoutVars>
      </dgm:prSet>
      <dgm:spPr/>
    </dgm:pt>
    <dgm:pt modelId="{C01B189C-52CA-4996-BC17-A9894554FA03}" type="pres">
      <dgm:prSet presAssocID="{180E13D5-F16E-430D-AE97-CBEF1B399178}" presName="comp" presStyleCnt="0"/>
      <dgm:spPr/>
    </dgm:pt>
    <dgm:pt modelId="{47B21686-CDC0-497D-9487-94CF2A2C5A72}" type="pres">
      <dgm:prSet presAssocID="{180E13D5-F16E-430D-AE97-CBEF1B399178}" presName="rect2" presStyleLbl="node1" presStyleIdx="0" presStyleCnt="4">
        <dgm:presLayoutVars>
          <dgm:bulletEnabled val="1"/>
        </dgm:presLayoutVars>
      </dgm:prSet>
      <dgm:spPr/>
      <dgm:t>
        <a:bodyPr/>
        <a:lstStyle/>
        <a:p>
          <a:endParaRPr lang="es-MX"/>
        </a:p>
      </dgm:t>
    </dgm:pt>
    <dgm:pt modelId="{C9FC7BED-248C-4008-AD6F-D4C4B2CA484F}" type="pres">
      <dgm:prSet presAssocID="{180E13D5-F16E-430D-AE97-CBEF1B399178}" presName="rect1" presStyleLbl="ln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pt>
    <dgm:pt modelId="{5925AD0A-6BE1-47DE-B09B-BD9FC34094E6}" type="pres">
      <dgm:prSet presAssocID="{1282E7AD-B428-4BD3-A891-C0BC814F51E7}" presName="sibTrans" presStyleCnt="0"/>
      <dgm:spPr/>
    </dgm:pt>
    <dgm:pt modelId="{49DD9C85-7E2E-431F-88B0-36ED46AA4D2D}" type="pres">
      <dgm:prSet presAssocID="{EA546394-E409-45FF-ADFF-EF20A0599EC3}" presName="comp" presStyleCnt="0"/>
      <dgm:spPr/>
    </dgm:pt>
    <dgm:pt modelId="{87085150-3B6D-4E1B-966F-E1DC9E5A6F5F}" type="pres">
      <dgm:prSet presAssocID="{EA546394-E409-45FF-ADFF-EF20A0599EC3}" presName="rect2" presStyleLbl="node1" presStyleIdx="1" presStyleCnt="4">
        <dgm:presLayoutVars>
          <dgm:bulletEnabled val="1"/>
        </dgm:presLayoutVars>
      </dgm:prSet>
      <dgm:spPr/>
      <dgm:t>
        <a:bodyPr/>
        <a:lstStyle/>
        <a:p>
          <a:endParaRPr lang="es-MX"/>
        </a:p>
      </dgm:t>
    </dgm:pt>
    <dgm:pt modelId="{FA737733-6138-48F1-845A-8108D26DC6CC}" type="pres">
      <dgm:prSet presAssocID="{EA546394-E409-45FF-ADFF-EF20A0599EC3}" presName="rect1" presStyleLbl="ln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1000" r="-31000"/>
          </a:stretch>
        </a:blipFill>
      </dgm:spPr>
    </dgm:pt>
    <dgm:pt modelId="{D6E56240-F0F8-4826-AC97-E093D9BFEF9B}" type="pres">
      <dgm:prSet presAssocID="{2178FE15-32DC-447B-A646-0E7BB222BBA2}" presName="sibTrans" presStyleCnt="0"/>
      <dgm:spPr/>
    </dgm:pt>
    <dgm:pt modelId="{4E5114CA-54D1-488F-9AEF-E3571EAB25DB}" type="pres">
      <dgm:prSet presAssocID="{35B604E5-7CC4-4F0C-971E-FB6F70547668}" presName="comp" presStyleCnt="0"/>
      <dgm:spPr/>
    </dgm:pt>
    <dgm:pt modelId="{5A17A4CE-F5ED-4928-91EC-027C40D8C8E5}" type="pres">
      <dgm:prSet presAssocID="{35B604E5-7CC4-4F0C-971E-FB6F70547668}" presName="rect2" presStyleLbl="node1" presStyleIdx="2" presStyleCnt="4">
        <dgm:presLayoutVars>
          <dgm:bulletEnabled val="1"/>
        </dgm:presLayoutVars>
      </dgm:prSet>
      <dgm:spPr/>
      <dgm:t>
        <a:bodyPr/>
        <a:lstStyle/>
        <a:p>
          <a:endParaRPr lang="es-MX"/>
        </a:p>
      </dgm:t>
    </dgm:pt>
    <dgm:pt modelId="{67AFE11A-1DC9-49B9-B6F7-59B71A391352}" type="pres">
      <dgm:prSet presAssocID="{35B604E5-7CC4-4F0C-971E-FB6F70547668}" presName="rect1" presStyleLbl="ln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9E15B864-42E9-4A79-8585-89DA781AB50F}" type="pres">
      <dgm:prSet presAssocID="{9504B64A-F2E7-4148-9313-DDE905509C10}" presName="sibTrans" presStyleCnt="0"/>
      <dgm:spPr/>
    </dgm:pt>
    <dgm:pt modelId="{4D15168D-7475-4226-A8B1-5B2599B18DED}" type="pres">
      <dgm:prSet presAssocID="{BA27CA2B-8EAE-4C1A-8FF0-C9A5C533EE41}" presName="comp" presStyleCnt="0"/>
      <dgm:spPr/>
    </dgm:pt>
    <dgm:pt modelId="{E883862C-2FA2-461C-946A-235FE2D8752F}" type="pres">
      <dgm:prSet presAssocID="{BA27CA2B-8EAE-4C1A-8FF0-C9A5C533EE41}" presName="rect2" presStyleLbl="node1" presStyleIdx="3" presStyleCnt="4">
        <dgm:presLayoutVars>
          <dgm:bulletEnabled val="1"/>
        </dgm:presLayoutVars>
      </dgm:prSet>
      <dgm:spPr/>
      <dgm:t>
        <a:bodyPr/>
        <a:lstStyle/>
        <a:p>
          <a:endParaRPr lang="es-MX"/>
        </a:p>
      </dgm:t>
    </dgm:pt>
    <dgm:pt modelId="{C3E41365-EF80-4CEC-826F-59F6D8BD885C}" type="pres">
      <dgm:prSet presAssocID="{BA27CA2B-8EAE-4C1A-8FF0-C9A5C533EE41}" presName="rect1" presStyleLbl="ln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6000" b="-16000"/>
          </a:stretch>
        </a:blipFill>
      </dgm:spPr>
    </dgm:pt>
  </dgm:ptLst>
  <dgm:cxnLst>
    <dgm:cxn modelId="{F75B443D-4561-43CC-99FD-0BF447DAB078}" type="presOf" srcId="{35B604E5-7CC4-4F0C-971E-FB6F70547668}" destId="{5A17A4CE-F5ED-4928-91EC-027C40D8C8E5}" srcOrd="0" destOrd="0" presId="urn:microsoft.com/office/officeart/2008/layout/AlternatingPictureBlocks"/>
    <dgm:cxn modelId="{52E12C5E-DC67-44C6-AF6F-9EBFE3007F89}" srcId="{770F7D6E-7AC1-44BA-B770-D5A88F2741D3}" destId="{BA27CA2B-8EAE-4C1A-8FF0-C9A5C533EE41}" srcOrd="3" destOrd="0" parTransId="{2C5A4234-FA93-4E6B-996A-D6813BC237D3}" sibTransId="{922BB350-8006-4374-9098-D95E878E6D7D}"/>
    <dgm:cxn modelId="{CF8F6F32-0E65-415D-92FF-B9FC1DE92F9B}" type="presOf" srcId="{EA546394-E409-45FF-ADFF-EF20A0599EC3}" destId="{87085150-3B6D-4E1B-966F-E1DC9E5A6F5F}" srcOrd="0" destOrd="0" presId="urn:microsoft.com/office/officeart/2008/layout/AlternatingPictureBlocks"/>
    <dgm:cxn modelId="{D6B9E95E-EADE-4B2C-BCCC-2A3C587EAB00}" srcId="{770F7D6E-7AC1-44BA-B770-D5A88F2741D3}" destId="{180E13D5-F16E-430D-AE97-CBEF1B399178}" srcOrd="0" destOrd="0" parTransId="{2F7A3891-E71D-4F93-9F2D-1296C7733C8C}" sibTransId="{1282E7AD-B428-4BD3-A891-C0BC814F51E7}"/>
    <dgm:cxn modelId="{4872DEBB-5876-49A3-A211-DAC0ADBA0C0D}" srcId="{770F7D6E-7AC1-44BA-B770-D5A88F2741D3}" destId="{35B604E5-7CC4-4F0C-971E-FB6F70547668}" srcOrd="2" destOrd="0" parTransId="{58C1FFEC-034E-4049-8FC4-20543891E5C8}" sibTransId="{9504B64A-F2E7-4148-9313-DDE905509C10}"/>
    <dgm:cxn modelId="{1EE19318-EF0E-4D62-B431-18D56B7B55CA}" type="presOf" srcId="{770F7D6E-7AC1-44BA-B770-D5A88F2741D3}" destId="{A20A8C4F-52D7-4A77-991B-BA28F1864391}" srcOrd="0" destOrd="0" presId="urn:microsoft.com/office/officeart/2008/layout/AlternatingPictureBlocks"/>
    <dgm:cxn modelId="{7817516B-4A6C-4B5E-A808-D264E89DC50B}" srcId="{770F7D6E-7AC1-44BA-B770-D5A88F2741D3}" destId="{EA546394-E409-45FF-ADFF-EF20A0599EC3}" srcOrd="1" destOrd="0" parTransId="{110169BA-5965-44D7-91CA-3250171F48E2}" sibTransId="{2178FE15-32DC-447B-A646-0E7BB222BBA2}"/>
    <dgm:cxn modelId="{0A7509DE-EF09-41D8-B8D4-85D1B87C78C0}" type="presOf" srcId="{180E13D5-F16E-430D-AE97-CBEF1B399178}" destId="{47B21686-CDC0-497D-9487-94CF2A2C5A72}" srcOrd="0" destOrd="0" presId="urn:microsoft.com/office/officeart/2008/layout/AlternatingPictureBlocks"/>
    <dgm:cxn modelId="{680ECB4F-77A1-4ADA-80D3-B26B77B7FF76}" type="presOf" srcId="{BA27CA2B-8EAE-4C1A-8FF0-C9A5C533EE41}" destId="{E883862C-2FA2-461C-946A-235FE2D8752F}" srcOrd="0" destOrd="0" presId="urn:microsoft.com/office/officeart/2008/layout/AlternatingPictureBlocks"/>
    <dgm:cxn modelId="{3F5ABD2D-B2BF-4260-A99F-AB7F4208699B}" type="presParOf" srcId="{A20A8C4F-52D7-4A77-991B-BA28F1864391}" destId="{C01B189C-52CA-4996-BC17-A9894554FA03}" srcOrd="0" destOrd="0" presId="urn:microsoft.com/office/officeart/2008/layout/AlternatingPictureBlocks"/>
    <dgm:cxn modelId="{73CD1CC9-FB68-4E93-9EB3-85829788836C}" type="presParOf" srcId="{C01B189C-52CA-4996-BC17-A9894554FA03}" destId="{47B21686-CDC0-497D-9487-94CF2A2C5A72}" srcOrd="0" destOrd="0" presId="urn:microsoft.com/office/officeart/2008/layout/AlternatingPictureBlocks"/>
    <dgm:cxn modelId="{6F4DD702-EF65-4587-96B1-09547F97BB79}" type="presParOf" srcId="{C01B189C-52CA-4996-BC17-A9894554FA03}" destId="{C9FC7BED-248C-4008-AD6F-D4C4B2CA484F}" srcOrd="1" destOrd="0" presId="urn:microsoft.com/office/officeart/2008/layout/AlternatingPictureBlocks"/>
    <dgm:cxn modelId="{006F12E7-0F0E-48FA-9E15-7F756D2A62FA}" type="presParOf" srcId="{A20A8C4F-52D7-4A77-991B-BA28F1864391}" destId="{5925AD0A-6BE1-47DE-B09B-BD9FC34094E6}" srcOrd="1" destOrd="0" presId="urn:microsoft.com/office/officeart/2008/layout/AlternatingPictureBlocks"/>
    <dgm:cxn modelId="{73BC883F-905E-4FBC-8CEF-6D811143C128}" type="presParOf" srcId="{A20A8C4F-52D7-4A77-991B-BA28F1864391}" destId="{49DD9C85-7E2E-431F-88B0-36ED46AA4D2D}" srcOrd="2" destOrd="0" presId="urn:microsoft.com/office/officeart/2008/layout/AlternatingPictureBlocks"/>
    <dgm:cxn modelId="{2AEAAC11-87BF-4E54-BE24-E9ABD4281169}" type="presParOf" srcId="{49DD9C85-7E2E-431F-88B0-36ED46AA4D2D}" destId="{87085150-3B6D-4E1B-966F-E1DC9E5A6F5F}" srcOrd="0" destOrd="0" presId="urn:microsoft.com/office/officeart/2008/layout/AlternatingPictureBlocks"/>
    <dgm:cxn modelId="{D58B0B45-252B-49F8-9D29-1CFEB94D01D4}" type="presParOf" srcId="{49DD9C85-7E2E-431F-88B0-36ED46AA4D2D}" destId="{FA737733-6138-48F1-845A-8108D26DC6CC}" srcOrd="1" destOrd="0" presId="urn:microsoft.com/office/officeart/2008/layout/AlternatingPictureBlocks"/>
    <dgm:cxn modelId="{6D775CEE-5F74-46A7-836F-DF6F3BAC4711}" type="presParOf" srcId="{A20A8C4F-52D7-4A77-991B-BA28F1864391}" destId="{D6E56240-F0F8-4826-AC97-E093D9BFEF9B}" srcOrd="3" destOrd="0" presId="urn:microsoft.com/office/officeart/2008/layout/AlternatingPictureBlocks"/>
    <dgm:cxn modelId="{9C11B6F5-6F3C-4DA8-84A5-78D8FF409C58}" type="presParOf" srcId="{A20A8C4F-52D7-4A77-991B-BA28F1864391}" destId="{4E5114CA-54D1-488F-9AEF-E3571EAB25DB}" srcOrd="4" destOrd="0" presId="urn:microsoft.com/office/officeart/2008/layout/AlternatingPictureBlocks"/>
    <dgm:cxn modelId="{E2D810AF-F451-423C-B1F9-D44590918170}" type="presParOf" srcId="{4E5114CA-54D1-488F-9AEF-E3571EAB25DB}" destId="{5A17A4CE-F5ED-4928-91EC-027C40D8C8E5}" srcOrd="0" destOrd="0" presId="urn:microsoft.com/office/officeart/2008/layout/AlternatingPictureBlocks"/>
    <dgm:cxn modelId="{C5B6119A-29CF-4A4B-897E-F7C49F009004}" type="presParOf" srcId="{4E5114CA-54D1-488F-9AEF-E3571EAB25DB}" destId="{67AFE11A-1DC9-49B9-B6F7-59B71A391352}" srcOrd="1" destOrd="0" presId="urn:microsoft.com/office/officeart/2008/layout/AlternatingPictureBlocks"/>
    <dgm:cxn modelId="{B3BF6434-3510-44E2-9F37-EFBC043E9719}" type="presParOf" srcId="{A20A8C4F-52D7-4A77-991B-BA28F1864391}" destId="{9E15B864-42E9-4A79-8585-89DA781AB50F}" srcOrd="5" destOrd="0" presId="urn:microsoft.com/office/officeart/2008/layout/AlternatingPictureBlocks"/>
    <dgm:cxn modelId="{A898B88F-70F3-4CCC-B3A6-618E0DD49BE0}" type="presParOf" srcId="{A20A8C4F-52D7-4A77-991B-BA28F1864391}" destId="{4D15168D-7475-4226-A8B1-5B2599B18DED}" srcOrd="6" destOrd="0" presId="urn:microsoft.com/office/officeart/2008/layout/AlternatingPictureBlocks"/>
    <dgm:cxn modelId="{C468E166-5849-4A65-829C-5C51F9852AAE}" type="presParOf" srcId="{4D15168D-7475-4226-A8B1-5B2599B18DED}" destId="{E883862C-2FA2-461C-946A-235FE2D8752F}" srcOrd="0" destOrd="0" presId="urn:microsoft.com/office/officeart/2008/layout/AlternatingPictureBlocks"/>
    <dgm:cxn modelId="{665703E2-2C09-4432-8720-157372F675DF}" type="presParOf" srcId="{4D15168D-7475-4226-A8B1-5B2599B18DED}" destId="{C3E41365-EF80-4CEC-826F-59F6D8BD885C}" srcOrd="1" destOrd="0" presId="urn:microsoft.com/office/officeart/2008/layout/AlternatingPictureBlock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6919B37-3494-4057-8E8A-36F207422AC4}" type="doc">
      <dgm:prSet loTypeId="urn:microsoft.com/office/officeart/2005/8/layout/target1" loCatId="relationship" qsTypeId="urn:microsoft.com/office/officeart/2005/8/quickstyle/simple4" qsCatId="simple" csTypeId="urn:microsoft.com/office/officeart/2005/8/colors/colorful4" csCatId="colorful" phldr="1"/>
      <dgm:spPr/>
      <dgm:t>
        <a:bodyPr/>
        <a:lstStyle/>
        <a:p>
          <a:endParaRPr lang="es-AR"/>
        </a:p>
      </dgm:t>
    </dgm:pt>
    <dgm:pt modelId="{81FC6EBF-8E1C-4E4E-B44D-DB1504C94880}">
      <dgm:prSet phldrT="[Texto]" custT="1"/>
      <dgm:spPr/>
      <dgm:t>
        <a:bodyPr/>
        <a:lstStyle/>
        <a:p>
          <a:pPr algn="just"/>
          <a:r>
            <a:rPr lang="es-AR" sz="900">
              <a:latin typeface="Arial" panose="020B0604020202020204" pitchFamily="34" charset="0"/>
              <a:cs typeface="Arial" panose="020B0604020202020204" pitchFamily="34" charset="0"/>
            </a:rPr>
            <a:t>Sustitución de infraestructura. </a:t>
          </a:r>
        </a:p>
      </dgm:t>
    </dgm:pt>
    <dgm:pt modelId="{72A235F7-5510-4F55-B04A-92E006513CA5}" type="parTrans" cxnId="{5F1F6092-E17A-46DB-B567-E2A5F54E9689}">
      <dgm:prSet/>
      <dgm:spPr/>
      <dgm:t>
        <a:bodyPr/>
        <a:lstStyle/>
        <a:p>
          <a:endParaRPr lang="es-AR"/>
        </a:p>
      </dgm:t>
    </dgm:pt>
    <dgm:pt modelId="{8E92FEFB-0762-44C4-9E2C-1959DCE0242B}" type="sibTrans" cxnId="{5F1F6092-E17A-46DB-B567-E2A5F54E9689}">
      <dgm:prSet/>
      <dgm:spPr/>
      <dgm:t>
        <a:bodyPr/>
        <a:lstStyle/>
        <a:p>
          <a:endParaRPr lang="es-AR"/>
        </a:p>
      </dgm:t>
    </dgm:pt>
    <dgm:pt modelId="{B0C7967E-B26A-4C9E-829A-88D04ACFDFC8}">
      <dgm:prSet phldrT="[Texto]" custT="1"/>
      <dgm:spPr/>
      <dgm:t>
        <a:bodyPr/>
        <a:lstStyle/>
        <a:p>
          <a:pPr algn="just"/>
          <a:r>
            <a:rPr lang="es-AR" sz="900">
              <a:latin typeface="Arial" panose="020B0604020202020204" pitchFamily="34" charset="0"/>
              <a:cs typeface="Arial" panose="020B0604020202020204" pitchFamily="34" charset="0"/>
            </a:rPr>
            <a:t>Fugas y operaciones de mantenimiento del sistema que abastece agua potable a la ZM. </a:t>
          </a:r>
        </a:p>
      </dgm:t>
    </dgm:pt>
    <dgm:pt modelId="{0FA4132D-DF37-46AB-904C-2C5F9ED7413E}" type="parTrans" cxnId="{93B054CA-36AF-4467-BD38-EEB24985485D}">
      <dgm:prSet/>
      <dgm:spPr/>
      <dgm:t>
        <a:bodyPr/>
        <a:lstStyle/>
        <a:p>
          <a:endParaRPr lang="es-AR"/>
        </a:p>
      </dgm:t>
    </dgm:pt>
    <dgm:pt modelId="{A9A2FAE0-D567-422F-807A-0557E09B31A2}" type="sibTrans" cxnId="{93B054CA-36AF-4467-BD38-EEB24985485D}">
      <dgm:prSet/>
      <dgm:spPr/>
      <dgm:t>
        <a:bodyPr/>
        <a:lstStyle/>
        <a:p>
          <a:endParaRPr lang="es-AR"/>
        </a:p>
      </dgm:t>
    </dgm:pt>
    <dgm:pt modelId="{7FD3E626-C9C3-4505-996A-B95EE6247FA6}">
      <dgm:prSet phldrT="[Texto]" custT="1"/>
      <dgm:spPr/>
      <dgm:t>
        <a:bodyPr/>
        <a:lstStyle/>
        <a:p>
          <a:pPr algn="just"/>
          <a:r>
            <a:rPr lang="es-AR" sz="900">
              <a:latin typeface="Arial" panose="020B0604020202020204" pitchFamily="34" charset="0"/>
              <a:cs typeface="Arial" panose="020B0604020202020204" pitchFamily="34" charset="0"/>
            </a:rPr>
            <a:t>Pérdida de agua.</a:t>
          </a:r>
        </a:p>
      </dgm:t>
    </dgm:pt>
    <dgm:pt modelId="{2A0FC13F-9632-4C55-977F-4873F14EF444}" type="parTrans" cxnId="{B8BF7467-F0EA-4021-9F5D-FC1EA93AFD63}">
      <dgm:prSet/>
      <dgm:spPr/>
      <dgm:t>
        <a:bodyPr/>
        <a:lstStyle/>
        <a:p>
          <a:endParaRPr lang="es-AR"/>
        </a:p>
      </dgm:t>
    </dgm:pt>
    <dgm:pt modelId="{34E2BDCD-7A4B-4B32-8F94-9BFA2D410EAF}" type="sibTrans" cxnId="{B8BF7467-F0EA-4021-9F5D-FC1EA93AFD63}">
      <dgm:prSet/>
      <dgm:spPr/>
      <dgm:t>
        <a:bodyPr/>
        <a:lstStyle/>
        <a:p>
          <a:endParaRPr lang="es-AR"/>
        </a:p>
      </dgm:t>
    </dgm:pt>
    <dgm:pt modelId="{0C3B2867-0042-4995-B642-185B4DA141B4}">
      <dgm:prSet phldrT="[Texto]" custT="1"/>
      <dgm:spPr/>
      <dgm:t>
        <a:bodyPr/>
        <a:lstStyle/>
        <a:p>
          <a:pPr algn="just"/>
          <a:r>
            <a:rPr lang="es-AR" sz="900">
              <a:latin typeface="Arial" panose="020B0604020202020204" pitchFamily="34" charset="0"/>
              <a:cs typeface="Arial" panose="020B0604020202020204" pitchFamily="34" charset="0"/>
            </a:rPr>
            <a:t>Creciente demanda de agua por el crecimiento poblacional. </a:t>
          </a:r>
        </a:p>
      </dgm:t>
    </dgm:pt>
    <dgm:pt modelId="{A98EAE09-9248-4058-B8DA-74F3CD9BC9FA}" type="parTrans" cxnId="{E430A6D7-50D0-4935-85C5-C011735C1D9F}">
      <dgm:prSet/>
      <dgm:spPr/>
      <dgm:t>
        <a:bodyPr/>
        <a:lstStyle/>
        <a:p>
          <a:endParaRPr lang="es-AR"/>
        </a:p>
      </dgm:t>
    </dgm:pt>
    <dgm:pt modelId="{53B95381-F452-4ED0-862A-0846FB78126E}" type="sibTrans" cxnId="{E430A6D7-50D0-4935-85C5-C011735C1D9F}">
      <dgm:prSet/>
      <dgm:spPr/>
      <dgm:t>
        <a:bodyPr/>
        <a:lstStyle/>
        <a:p>
          <a:endParaRPr lang="es-AR"/>
        </a:p>
      </dgm:t>
    </dgm:pt>
    <dgm:pt modelId="{6AD66804-325F-4A2D-A19C-5CAEB55CBDF5}">
      <dgm:prSet phldrT="[Texto]" custT="1"/>
      <dgm:spPr/>
      <dgm:t>
        <a:bodyPr/>
        <a:lstStyle/>
        <a:p>
          <a:pPr algn="just"/>
          <a:r>
            <a:rPr lang="es-AR" sz="900">
              <a:latin typeface="Arial" panose="020B0604020202020204" pitchFamily="34" charset="0"/>
              <a:cs typeface="Arial" panose="020B0604020202020204" pitchFamily="34" charset="0"/>
            </a:rPr>
            <a:t>Problemas operativos asociados a la cloración para purificar el agua, potabilizarla, conducirla y tratarla, lo que implica gasto de insumos, pago de electricidad, sueldos y derechos de agua. </a:t>
          </a:r>
        </a:p>
      </dgm:t>
    </dgm:pt>
    <dgm:pt modelId="{8492D67C-CC90-4F89-9E2B-E75BC570D4C7}" type="parTrans" cxnId="{A30735B0-6E92-40EC-B4F3-E2C77D65AF2D}">
      <dgm:prSet/>
      <dgm:spPr/>
      <dgm:t>
        <a:bodyPr/>
        <a:lstStyle/>
        <a:p>
          <a:endParaRPr lang="es-AR"/>
        </a:p>
      </dgm:t>
    </dgm:pt>
    <dgm:pt modelId="{C080D1E1-313C-4E73-A6A2-6BFD1F905BD2}" type="sibTrans" cxnId="{A30735B0-6E92-40EC-B4F3-E2C77D65AF2D}">
      <dgm:prSet/>
      <dgm:spPr/>
      <dgm:t>
        <a:bodyPr/>
        <a:lstStyle/>
        <a:p>
          <a:endParaRPr lang="es-AR"/>
        </a:p>
      </dgm:t>
    </dgm:pt>
    <dgm:pt modelId="{4436B484-0685-4E69-AEE6-3A0E62AC32D9}" type="pres">
      <dgm:prSet presAssocID="{D6919B37-3494-4057-8E8A-36F207422AC4}" presName="composite" presStyleCnt="0">
        <dgm:presLayoutVars>
          <dgm:chMax val="5"/>
          <dgm:dir/>
          <dgm:resizeHandles val="exact"/>
        </dgm:presLayoutVars>
      </dgm:prSet>
      <dgm:spPr/>
      <dgm:t>
        <a:bodyPr/>
        <a:lstStyle/>
        <a:p>
          <a:endParaRPr lang="es-MX"/>
        </a:p>
      </dgm:t>
    </dgm:pt>
    <dgm:pt modelId="{6BF58B6C-71AB-40E8-A0CF-C05788969327}" type="pres">
      <dgm:prSet presAssocID="{6AD66804-325F-4A2D-A19C-5CAEB55CBDF5}" presName="circle1" presStyleLbl="lnNode1" presStyleIdx="0" presStyleCnt="5"/>
      <dgm:spPr/>
      <dgm:t>
        <a:bodyPr/>
        <a:lstStyle/>
        <a:p>
          <a:endParaRPr lang="es-MX"/>
        </a:p>
      </dgm:t>
    </dgm:pt>
    <dgm:pt modelId="{1690C653-4E4C-4F15-A0DF-2478207CAFCD}" type="pres">
      <dgm:prSet presAssocID="{6AD66804-325F-4A2D-A19C-5CAEB55CBDF5}" presName="text1" presStyleLbl="revTx" presStyleIdx="0" presStyleCnt="5" custScaleY="210924" custLinFactNeighborX="1345" custLinFactNeighborY="20959">
        <dgm:presLayoutVars>
          <dgm:bulletEnabled val="1"/>
        </dgm:presLayoutVars>
      </dgm:prSet>
      <dgm:spPr/>
      <dgm:t>
        <a:bodyPr/>
        <a:lstStyle/>
        <a:p>
          <a:endParaRPr lang="es-MX"/>
        </a:p>
      </dgm:t>
    </dgm:pt>
    <dgm:pt modelId="{5E8FBDA3-CD24-4D86-B0A8-1653F86A8E7E}" type="pres">
      <dgm:prSet presAssocID="{6AD66804-325F-4A2D-A19C-5CAEB55CBDF5}" presName="line1" presStyleLbl="callout" presStyleIdx="0" presStyleCnt="10"/>
      <dgm:spPr/>
      <dgm:t>
        <a:bodyPr/>
        <a:lstStyle/>
        <a:p>
          <a:endParaRPr lang="es-MX"/>
        </a:p>
      </dgm:t>
    </dgm:pt>
    <dgm:pt modelId="{B556955E-6982-42BE-A284-FB71B22ECC71}" type="pres">
      <dgm:prSet presAssocID="{6AD66804-325F-4A2D-A19C-5CAEB55CBDF5}" presName="d1" presStyleLbl="callout" presStyleIdx="1" presStyleCnt="10"/>
      <dgm:spPr/>
      <dgm:t>
        <a:bodyPr/>
        <a:lstStyle/>
        <a:p>
          <a:endParaRPr lang="es-MX"/>
        </a:p>
      </dgm:t>
    </dgm:pt>
    <dgm:pt modelId="{3467A24E-BCCC-4294-93D9-20548726DB95}" type="pres">
      <dgm:prSet presAssocID="{81FC6EBF-8E1C-4E4E-B44D-DB1504C94880}" presName="circle2" presStyleLbl="lnNode1" presStyleIdx="1" presStyleCnt="5"/>
      <dgm:spPr/>
      <dgm:t>
        <a:bodyPr/>
        <a:lstStyle/>
        <a:p>
          <a:endParaRPr lang="es-MX"/>
        </a:p>
      </dgm:t>
    </dgm:pt>
    <dgm:pt modelId="{3C902C78-8521-410F-B139-F2F84BC5E807}" type="pres">
      <dgm:prSet presAssocID="{81FC6EBF-8E1C-4E4E-B44D-DB1504C94880}" presName="text2" presStyleLbl="revTx" presStyleIdx="1" presStyleCnt="5" custLinFactNeighborX="3364" custLinFactNeighborY="43824">
        <dgm:presLayoutVars>
          <dgm:bulletEnabled val="1"/>
        </dgm:presLayoutVars>
      </dgm:prSet>
      <dgm:spPr/>
      <dgm:t>
        <a:bodyPr/>
        <a:lstStyle/>
        <a:p>
          <a:endParaRPr lang="es-MX"/>
        </a:p>
      </dgm:t>
    </dgm:pt>
    <dgm:pt modelId="{3056F2C0-A2DE-4E4B-A583-031663631CF8}" type="pres">
      <dgm:prSet presAssocID="{81FC6EBF-8E1C-4E4E-B44D-DB1504C94880}" presName="line2" presStyleLbl="callout" presStyleIdx="2" presStyleCnt="10"/>
      <dgm:spPr/>
      <dgm:t>
        <a:bodyPr/>
        <a:lstStyle/>
        <a:p>
          <a:endParaRPr lang="es-MX"/>
        </a:p>
      </dgm:t>
    </dgm:pt>
    <dgm:pt modelId="{5B4B208F-3D78-4264-90F7-8D9A5386BD82}" type="pres">
      <dgm:prSet presAssocID="{81FC6EBF-8E1C-4E4E-B44D-DB1504C94880}" presName="d2" presStyleLbl="callout" presStyleIdx="3" presStyleCnt="10"/>
      <dgm:spPr/>
      <dgm:t>
        <a:bodyPr/>
        <a:lstStyle/>
        <a:p>
          <a:endParaRPr lang="es-MX"/>
        </a:p>
      </dgm:t>
    </dgm:pt>
    <dgm:pt modelId="{60E4A3EA-3741-4705-86BC-D6F65417D4E5}" type="pres">
      <dgm:prSet presAssocID="{7FD3E626-C9C3-4505-996A-B95EE6247FA6}" presName="circle3" presStyleLbl="lnNode1" presStyleIdx="2" presStyleCnt="5"/>
      <dgm:spPr/>
      <dgm:t>
        <a:bodyPr/>
        <a:lstStyle/>
        <a:p>
          <a:endParaRPr lang="es-MX"/>
        </a:p>
      </dgm:t>
    </dgm:pt>
    <dgm:pt modelId="{5B37E5A7-7EAE-4F96-A6ED-085E8753732D}" type="pres">
      <dgm:prSet presAssocID="{7FD3E626-C9C3-4505-996A-B95EE6247FA6}" presName="text3" presStyleLbl="revTx" presStyleIdx="2" presStyleCnt="5" custLinFactNeighborX="3364" custLinFactNeighborY="19054">
        <dgm:presLayoutVars>
          <dgm:bulletEnabled val="1"/>
        </dgm:presLayoutVars>
      </dgm:prSet>
      <dgm:spPr/>
      <dgm:t>
        <a:bodyPr/>
        <a:lstStyle/>
        <a:p>
          <a:endParaRPr lang="es-MX"/>
        </a:p>
      </dgm:t>
    </dgm:pt>
    <dgm:pt modelId="{789DA3E3-BF37-43BD-979E-5675D3E17E0A}" type="pres">
      <dgm:prSet presAssocID="{7FD3E626-C9C3-4505-996A-B95EE6247FA6}" presName="line3" presStyleLbl="callout" presStyleIdx="4" presStyleCnt="10"/>
      <dgm:spPr/>
      <dgm:t>
        <a:bodyPr/>
        <a:lstStyle/>
        <a:p>
          <a:endParaRPr lang="es-MX"/>
        </a:p>
      </dgm:t>
    </dgm:pt>
    <dgm:pt modelId="{F8E120E8-1126-4474-8CDE-D470D64C3781}" type="pres">
      <dgm:prSet presAssocID="{7FD3E626-C9C3-4505-996A-B95EE6247FA6}" presName="d3" presStyleLbl="callout" presStyleIdx="5" presStyleCnt="10"/>
      <dgm:spPr/>
      <dgm:t>
        <a:bodyPr/>
        <a:lstStyle/>
        <a:p>
          <a:endParaRPr lang="es-MX"/>
        </a:p>
      </dgm:t>
    </dgm:pt>
    <dgm:pt modelId="{BE432EB9-A021-4305-A20A-2829C3CDCB58}" type="pres">
      <dgm:prSet presAssocID="{0C3B2867-0042-4995-B642-185B4DA141B4}" presName="circle4" presStyleLbl="lnNode1" presStyleIdx="3" presStyleCnt="5"/>
      <dgm:spPr/>
      <dgm:t>
        <a:bodyPr/>
        <a:lstStyle/>
        <a:p>
          <a:endParaRPr lang="es-MX"/>
        </a:p>
      </dgm:t>
    </dgm:pt>
    <dgm:pt modelId="{C4A17778-A3F3-43CA-A663-6039B31D962C}" type="pres">
      <dgm:prSet presAssocID="{0C3B2867-0042-4995-B642-185B4DA141B4}" presName="text4" presStyleLbl="revTx" presStyleIdx="3" presStyleCnt="5" custLinFactNeighborX="1345" custLinFactNeighborY="22865">
        <dgm:presLayoutVars>
          <dgm:bulletEnabled val="1"/>
        </dgm:presLayoutVars>
      </dgm:prSet>
      <dgm:spPr/>
      <dgm:t>
        <a:bodyPr/>
        <a:lstStyle/>
        <a:p>
          <a:endParaRPr lang="es-MX"/>
        </a:p>
      </dgm:t>
    </dgm:pt>
    <dgm:pt modelId="{8BEF9E34-F9B3-4DE5-AE57-F7933A33957F}" type="pres">
      <dgm:prSet presAssocID="{0C3B2867-0042-4995-B642-185B4DA141B4}" presName="line4" presStyleLbl="callout" presStyleIdx="6" presStyleCnt="10"/>
      <dgm:spPr/>
      <dgm:t>
        <a:bodyPr/>
        <a:lstStyle/>
        <a:p>
          <a:endParaRPr lang="es-MX"/>
        </a:p>
      </dgm:t>
    </dgm:pt>
    <dgm:pt modelId="{421A5B1C-E542-4B82-B5FF-771C2686013A}" type="pres">
      <dgm:prSet presAssocID="{0C3B2867-0042-4995-B642-185B4DA141B4}" presName="d4" presStyleLbl="callout" presStyleIdx="7" presStyleCnt="10"/>
      <dgm:spPr/>
      <dgm:t>
        <a:bodyPr/>
        <a:lstStyle/>
        <a:p>
          <a:endParaRPr lang="es-MX"/>
        </a:p>
      </dgm:t>
    </dgm:pt>
    <dgm:pt modelId="{2B0F4558-5842-4D17-AC94-FCAD3FAE083B}" type="pres">
      <dgm:prSet presAssocID="{B0C7967E-B26A-4C9E-829A-88D04ACFDFC8}" presName="circle5" presStyleLbl="lnNode1" presStyleIdx="4" presStyleCnt="5"/>
      <dgm:spPr/>
      <dgm:t>
        <a:bodyPr/>
        <a:lstStyle/>
        <a:p>
          <a:endParaRPr lang="es-MX"/>
        </a:p>
      </dgm:t>
    </dgm:pt>
    <dgm:pt modelId="{C9F7EAE3-7156-4BD4-BDD5-E2926E4E55AE}" type="pres">
      <dgm:prSet presAssocID="{B0C7967E-B26A-4C9E-829A-88D04ACFDFC8}" presName="text5" presStyleLbl="revTx" presStyleIdx="4" presStyleCnt="5" custLinFactNeighborX="776" custLinFactNeighborY="57148">
        <dgm:presLayoutVars>
          <dgm:bulletEnabled val="1"/>
        </dgm:presLayoutVars>
      </dgm:prSet>
      <dgm:spPr/>
      <dgm:t>
        <a:bodyPr/>
        <a:lstStyle/>
        <a:p>
          <a:endParaRPr lang="es-MX"/>
        </a:p>
      </dgm:t>
    </dgm:pt>
    <dgm:pt modelId="{4A88451C-3346-49D2-880C-AD8F0CFCF1E8}" type="pres">
      <dgm:prSet presAssocID="{B0C7967E-B26A-4C9E-829A-88D04ACFDFC8}" presName="line5" presStyleLbl="callout" presStyleIdx="8" presStyleCnt="10"/>
      <dgm:spPr/>
      <dgm:t>
        <a:bodyPr/>
        <a:lstStyle/>
        <a:p>
          <a:endParaRPr lang="es-MX"/>
        </a:p>
      </dgm:t>
    </dgm:pt>
    <dgm:pt modelId="{326D2E08-C4DD-489F-83DA-18F8B4647DE8}" type="pres">
      <dgm:prSet presAssocID="{B0C7967E-B26A-4C9E-829A-88D04ACFDFC8}" presName="d5" presStyleLbl="callout" presStyleIdx="9" presStyleCnt="10"/>
      <dgm:spPr/>
      <dgm:t>
        <a:bodyPr/>
        <a:lstStyle/>
        <a:p>
          <a:endParaRPr lang="es-MX"/>
        </a:p>
      </dgm:t>
    </dgm:pt>
  </dgm:ptLst>
  <dgm:cxnLst>
    <dgm:cxn modelId="{0ADC6D95-3C38-4BED-B1AF-31B61641AD34}" type="presOf" srcId="{6AD66804-325F-4A2D-A19C-5CAEB55CBDF5}" destId="{1690C653-4E4C-4F15-A0DF-2478207CAFCD}" srcOrd="0" destOrd="0" presId="urn:microsoft.com/office/officeart/2005/8/layout/target1"/>
    <dgm:cxn modelId="{5F1F6092-E17A-46DB-B567-E2A5F54E9689}" srcId="{D6919B37-3494-4057-8E8A-36F207422AC4}" destId="{81FC6EBF-8E1C-4E4E-B44D-DB1504C94880}" srcOrd="1" destOrd="0" parTransId="{72A235F7-5510-4F55-B04A-92E006513CA5}" sibTransId="{8E92FEFB-0762-44C4-9E2C-1959DCE0242B}"/>
    <dgm:cxn modelId="{12D239C6-411A-48E3-BA81-B267B20335EC}" type="presOf" srcId="{81FC6EBF-8E1C-4E4E-B44D-DB1504C94880}" destId="{3C902C78-8521-410F-B139-F2F84BC5E807}" srcOrd="0" destOrd="0" presId="urn:microsoft.com/office/officeart/2005/8/layout/target1"/>
    <dgm:cxn modelId="{98C4FB28-08BF-4FA6-BC71-CA872CE8D77B}" type="presOf" srcId="{B0C7967E-B26A-4C9E-829A-88D04ACFDFC8}" destId="{C9F7EAE3-7156-4BD4-BDD5-E2926E4E55AE}" srcOrd="0" destOrd="0" presId="urn:microsoft.com/office/officeart/2005/8/layout/target1"/>
    <dgm:cxn modelId="{E430A6D7-50D0-4935-85C5-C011735C1D9F}" srcId="{D6919B37-3494-4057-8E8A-36F207422AC4}" destId="{0C3B2867-0042-4995-B642-185B4DA141B4}" srcOrd="3" destOrd="0" parTransId="{A98EAE09-9248-4058-B8DA-74F3CD9BC9FA}" sibTransId="{53B95381-F452-4ED0-862A-0846FB78126E}"/>
    <dgm:cxn modelId="{B8BF7467-F0EA-4021-9F5D-FC1EA93AFD63}" srcId="{D6919B37-3494-4057-8E8A-36F207422AC4}" destId="{7FD3E626-C9C3-4505-996A-B95EE6247FA6}" srcOrd="2" destOrd="0" parTransId="{2A0FC13F-9632-4C55-977F-4873F14EF444}" sibTransId="{34E2BDCD-7A4B-4B32-8F94-9BFA2D410EAF}"/>
    <dgm:cxn modelId="{93B054CA-36AF-4467-BD38-EEB24985485D}" srcId="{D6919B37-3494-4057-8E8A-36F207422AC4}" destId="{B0C7967E-B26A-4C9E-829A-88D04ACFDFC8}" srcOrd="4" destOrd="0" parTransId="{0FA4132D-DF37-46AB-904C-2C5F9ED7413E}" sibTransId="{A9A2FAE0-D567-422F-807A-0557E09B31A2}"/>
    <dgm:cxn modelId="{B0570C05-13C6-4664-B8B2-77DE7B9964BF}" type="presOf" srcId="{7FD3E626-C9C3-4505-996A-B95EE6247FA6}" destId="{5B37E5A7-7EAE-4F96-A6ED-085E8753732D}" srcOrd="0" destOrd="0" presId="urn:microsoft.com/office/officeart/2005/8/layout/target1"/>
    <dgm:cxn modelId="{0D7492E6-47D9-4260-85F7-25FCC4DA4403}" type="presOf" srcId="{0C3B2867-0042-4995-B642-185B4DA141B4}" destId="{C4A17778-A3F3-43CA-A663-6039B31D962C}" srcOrd="0" destOrd="0" presId="urn:microsoft.com/office/officeart/2005/8/layout/target1"/>
    <dgm:cxn modelId="{83C69D5E-D712-4C46-9B48-A9F86D1B9A38}" type="presOf" srcId="{D6919B37-3494-4057-8E8A-36F207422AC4}" destId="{4436B484-0685-4E69-AEE6-3A0E62AC32D9}" srcOrd="0" destOrd="0" presId="urn:microsoft.com/office/officeart/2005/8/layout/target1"/>
    <dgm:cxn modelId="{A30735B0-6E92-40EC-B4F3-E2C77D65AF2D}" srcId="{D6919B37-3494-4057-8E8A-36F207422AC4}" destId="{6AD66804-325F-4A2D-A19C-5CAEB55CBDF5}" srcOrd="0" destOrd="0" parTransId="{8492D67C-CC90-4F89-9E2B-E75BC570D4C7}" sibTransId="{C080D1E1-313C-4E73-A6A2-6BFD1F905BD2}"/>
    <dgm:cxn modelId="{F99E9DFA-114D-4A69-93FC-759199BA142E}" type="presParOf" srcId="{4436B484-0685-4E69-AEE6-3A0E62AC32D9}" destId="{6BF58B6C-71AB-40E8-A0CF-C05788969327}" srcOrd="0" destOrd="0" presId="urn:microsoft.com/office/officeart/2005/8/layout/target1"/>
    <dgm:cxn modelId="{8EF806BE-18AB-49C9-BB80-7974B59070AD}" type="presParOf" srcId="{4436B484-0685-4E69-AEE6-3A0E62AC32D9}" destId="{1690C653-4E4C-4F15-A0DF-2478207CAFCD}" srcOrd="1" destOrd="0" presId="urn:microsoft.com/office/officeart/2005/8/layout/target1"/>
    <dgm:cxn modelId="{7B7AD748-9747-4A38-B503-B3E0AAA140BB}" type="presParOf" srcId="{4436B484-0685-4E69-AEE6-3A0E62AC32D9}" destId="{5E8FBDA3-CD24-4D86-B0A8-1653F86A8E7E}" srcOrd="2" destOrd="0" presId="urn:microsoft.com/office/officeart/2005/8/layout/target1"/>
    <dgm:cxn modelId="{7E6B874A-60B3-434F-A401-C171E39A4103}" type="presParOf" srcId="{4436B484-0685-4E69-AEE6-3A0E62AC32D9}" destId="{B556955E-6982-42BE-A284-FB71B22ECC71}" srcOrd="3" destOrd="0" presId="urn:microsoft.com/office/officeart/2005/8/layout/target1"/>
    <dgm:cxn modelId="{CE28D8A0-66E2-41D8-B5C0-9DF32B430504}" type="presParOf" srcId="{4436B484-0685-4E69-AEE6-3A0E62AC32D9}" destId="{3467A24E-BCCC-4294-93D9-20548726DB95}" srcOrd="4" destOrd="0" presId="urn:microsoft.com/office/officeart/2005/8/layout/target1"/>
    <dgm:cxn modelId="{7C6F0D1D-CB95-424D-A1B5-5BF1548E90B5}" type="presParOf" srcId="{4436B484-0685-4E69-AEE6-3A0E62AC32D9}" destId="{3C902C78-8521-410F-B139-F2F84BC5E807}" srcOrd="5" destOrd="0" presId="urn:microsoft.com/office/officeart/2005/8/layout/target1"/>
    <dgm:cxn modelId="{9BF227CF-A77F-4CC4-9492-554A913648DC}" type="presParOf" srcId="{4436B484-0685-4E69-AEE6-3A0E62AC32D9}" destId="{3056F2C0-A2DE-4E4B-A583-031663631CF8}" srcOrd="6" destOrd="0" presId="urn:microsoft.com/office/officeart/2005/8/layout/target1"/>
    <dgm:cxn modelId="{8E5516D0-818A-43FF-AE05-03E8A703B820}" type="presParOf" srcId="{4436B484-0685-4E69-AEE6-3A0E62AC32D9}" destId="{5B4B208F-3D78-4264-90F7-8D9A5386BD82}" srcOrd="7" destOrd="0" presId="urn:microsoft.com/office/officeart/2005/8/layout/target1"/>
    <dgm:cxn modelId="{A9A6B79A-E534-4F0A-A744-B2F3E55C8A15}" type="presParOf" srcId="{4436B484-0685-4E69-AEE6-3A0E62AC32D9}" destId="{60E4A3EA-3741-4705-86BC-D6F65417D4E5}" srcOrd="8" destOrd="0" presId="urn:microsoft.com/office/officeart/2005/8/layout/target1"/>
    <dgm:cxn modelId="{DB2870A3-AD2A-4CE9-B354-E6B0E5B07A34}" type="presParOf" srcId="{4436B484-0685-4E69-AEE6-3A0E62AC32D9}" destId="{5B37E5A7-7EAE-4F96-A6ED-085E8753732D}" srcOrd="9" destOrd="0" presId="urn:microsoft.com/office/officeart/2005/8/layout/target1"/>
    <dgm:cxn modelId="{0E411183-19D5-4D13-B4C9-325E24641A00}" type="presParOf" srcId="{4436B484-0685-4E69-AEE6-3A0E62AC32D9}" destId="{789DA3E3-BF37-43BD-979E-5675D3E17E0A}" srcOrd="10" destOrd="0" presId="urn:microsoft.com/office/officeart/2005/8/layout/target1"/>
    <dgm:cxn modelId="{E3B465E6-44AC-4E2A-AF97-DAF21947652E}" type="presParOf" srcId="{4436B484-0685-4E69-AEE6-3A0E62AC32D9}" destId="{F8E120E8-1126-4474-8CDE-D470D64C3781}" srcOrd="11" destOrd="0" presId="urn:microsoft.com/office/officeart/2005/8/layout/target1"/>
    <dgm:cxn modelId="{713E2E63-3D1E-4801-8315-93F97F6A17A3}" type="presParOf" srcId="{4436B484-0685-4E69-AEE6-3A0E62AC32D9}" destId="{BE432EB9-A021-4305-A20A-2829C3CDCB58}" srcOrd="12" destOrd="0" presId="urn:microsoft.com/office/officeart/2005/8/layout/target1"/>
    <dgm:cxn modelId="{DA96E383-2128-47E2-8444-FA86B533258F}" type="presParOf" srcId="{4436B484-0685-4E69-AEE6-3A0E62AC32D9}" destId="{C4A17778-A3F3-43CA-A663-6039B31D962C}" srcOrd="13" destOrd="0" presId="urn:microsoft.com/office/officeart/2005/8/layout/target1"/>
    <dgm:cxn modelId="{6A9DA954-8D37-4E07-B944-E5796BEC69EB}" type="presParOf" srcId="{4436B484-0685-4E69-AEE6-3A0E62AC32D9}" destId="{8BEF9E34-F9B3-4DE5-AE57-F7933A33957F}" srcOrd="14" destOrd="0" presId="urn:microsoft.com/office/officeart/2005/8/layout/target1"/>
    <dgm:cxn modelId="{B695936D-8229-4FE3-BA57-A95FCE9C3613}" type="presParOf" srcId="{4436B484-0685-4E69-AEE6-3A0E62AC32D9}" destId="{421A5B1C-E542-4B82-B5FF-771C2686013A}" srcOrd="15" destOrd="0" presId="urn:microsoft.com/office/officeart/2005/8/layout/target1"/>
    <dgm:cxn modelId="{E6981437-6892-406E-9372-5DD60B5F7C08}" type="presParOf" srcId="{4436B484-0685-4E69-AEE6-3A0E62AC32D9}" destId="{2B0F4558-5842-4D17-AC94-FCAD3FAE083B}" srcOrd="16" destOrd="0" presId="urn:microsoft.com/office/officeart/2005/8/layout/target1"/>
    <dgm:cxn modelId="{87CE947D-72AA-4676-88BD-4CA1FCEF30BD}" type="presParOf" srcId="{4436B484-0685-4E69-AEE6-3A0E62AC32D9}" destId="{C9F7EAE3-7156-4BD4-BDD5-E2926E4E55AE}" srcOrd="17" destOrd="0" presId="urn:microsoft.com/office/officeart/2005/8/layout/target1"/>
    <dgm:cxn modelId="{28C2E825-B6AC-42EF-8DBE-6F68D4A5B499}" type="presParOf" srcId="{4436B484-0685-4E69-AEE6-3A0E62AC32D9}" destId="{4A88451C-3346-49D2-880C-AD8F0CFCF1E8}" srcOrd="18" destOrd="0" presId="urn:microsoft.com/office/officeart/2005/8/layout/target1"/>
    <dgm:cxn modelId="{B1CB2E27-4BB0-4A79-B1F9-8378E64D8AF3}" type="presParOf" srcId="{4436B484-0685-4E69-AEE6-3A0E62AC32D9}" destId="{326D2E08-C4DD-489F-83DA-18F8B4647DE8}" srcOrd="19" destOrd="0" presId="urn:microsoft.com/office/officeart/2005/8/layout/targe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0B6B92D-56A5-41C1-B28C-16CD5B0C8F91}"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AR"/>
        </a:p>
      </dgm:t>
    </dgm:pt>
    <dgm:pt modelId="{5B6F06D0-5015-43B5-9D48-C75D8C28FAF4}">
      <dgm:prSet phldrT="[Texto]"/>
      <dgm:spPr/>
      <dgm:t>
        <a:bodyPr/>
        <a:lstStyle/>
        <a:p>
          <a:r>
            <a:rPr lang="es-AR"/>
            <a:t>Policía eficaz, preparada y confiable.</a:t>
          </a:r>
        </a:p>
      </dgm:t>
    </dgm:pt>
    <dgm:pt modelId="{AB2C79A6-E7E0-402A-9EA3-29F4D75697DE}" type="parTrans" cxnId="{88E6A336-B92F-474E-AE84-12B2EB1B1775}">
      <dgm:prSet/>
      <dgm:spPr/>
      <dgm:t>
        <a:bodyPr/>
        <a:lstStyle/>
        <a:p>
          <a:endParaRPr lang="es-AR"/>
        </a:p>
      </dgm:t>
    </dgm:pt>
    <dgm:pt modelId="{6A7FF06E-373D-4DB2-A385-E1691A4F3AD0}" type="sibTrans" cxnId="{88E6A336-B92F-474E-AE84-12B2EB1B1775}">
      <dgm:prSet/>
      <dgm:spPr/>
      <dgm:t>
        <a:bodyPr/>
        <a:lstStyle/>
        <a:p>
          <a:endParaRPr lang="es-AR"/>
        </a:p>
      </dgm:t>
    </dgm:pt>
    <dgm:pt modelId="{5A64CD34-1F82-4711-9CFB-A3B680717732}">
      <dgm:prSet phldrT="[Texto]"/>
      <dgm:spPr/>
      <dgm:t>
        <a:bodyPr/>
        <a:lstStyle/>
        <a:p>
          <a:r>
            <a:rPr lang="es-AR"/>
            <a:t>Medidas anticorrrupción.</a:t>
          </a:r>
        </a:p>
      </dgm:t>
    </dgm:pt>
    <dgm:pt modelId="{82463CFF-659D-4422-BD1C-C571E5311474}" type="parTrans" cxnId="{661E58E1-A0D6-4580-8EF3-17E1F24B39D1}">
      <dgm:prSet/>
      <dgm:spPr/>
      <dgm:t>
        <a:bodyPr/>
        <a:lstStyle/>
        <a:p>
          <a:endParaRPr lang="es-AR"/>
        </a:p>
      </dgm:t>
    </dgm:pt>
    <dgm:pt modelId="{65955C5A-CFD7-4576-B415-EDD2319BA356}" type="sibTrans" cxnId="{661E58E1-A0D6-4580-8EF3-17E1F24B39D1}">
      <dgm:prSet/>
      <dgm:spPr/>
      <dgm:t>
        <a:bodyPr/>
        <a:lstStyle/>
        <a:p>
          <a:endParaRPr lang="es-AR"/>
        </a:p>
      </dgm:t>
    </dgm:pt>
    <dgm:pt modelId="{C2BB0CBA-47EE-454C-A3FD-4F53EBF64254}">
      <dgm:prSet phldrT="[Texto]"/>
      <dgm:spPr/>
      <dgm:t>
        <a:bodyPr/>
        <a:lstStyle/>
        <a:p>
          <a:r>
            <a:rPr lang="es-AR"/>
            <a:t>Esquemas de rendición de cuentas.</a:t>
          </a:r>
        </a:p>
      </dgm:t>
    </dgm:pt>
    <dgm:pt modelId="{BEFA1746-43F9-4F96-A3A6-A423FAE110BC}" type="parTrans" cxnId="{86E4D0D2-EA74-4D73-BFB6-E7040EA79308}">
      <dgm:prSet/>
      <dgm:spPr/>
      <dgm:t>
        <a:bodyPr/>
        <a:lstStyle/>
        <a:p>
          <a:endParaRPr lang="es-AR"/>
        </a:p>
      </dgm:t>
    </dgm:pt>
    <dgm:pt modelId="{84226650-4BD4-45CF-A32A-90BF26188C31}" type="sibTrans" cxnId="{86E4D0D2-EA74-4D73-BFB6-E7040EA79308}">
      <dgm:prSet/>
      <dgm:spPr/>
      <dgm:t>
        <a:bodyPr/>
        <a:lstStyle/>
        <a:p>
          <a:endParaRPr lang="es-AR"/>
        </a:p>
      </dgm:t>
    </dgm:pt>
    <dgm:pt modelId="{1194EE20-FB56-430C-A336-ADD09232C269}">
      <dgm:prSet phldrT="[Texto]"/>
      <dgm:spPr/>
      <dgm:t>
        <a:bodyPr/>
        <a:lstStyle/>
        <a:p>
          <a:r>
            <a:rPr lang="es-AR"/>
            <a:t>Consolidación del sistema penitenciario.</a:t>
          </a:r>
        </a:p>
      </dgm:t>
    </dgm:pt>
    <dgm:pt modelId="{B290FFA4-93DD-4F2B-8961-71ED9373F36E}" type="parTrans" cxnId="{5CFC3D3F-32AE-4544-B873-761E44BC07B0}">
      <dgm:prSet/>
      <dgm:spPr/>
      <dgm:t>
        <a:bodyPr/>
        <a:lstStyle/>
        <a:p>
          <a:endParaRPr lang="es-AR"/>
        </a:p>
      </dgm:t>
    </dgm:pt>
    <dgm:pt modelId="{21CCF102-90A3-4159-BCA4-5E48B9AE1C87}" type="sibTrans" cxnId="{5CFC3D3F-32AE-4544-B873-761E44BC07B0}">
      <dgm:prSet/>
      <dgm:spPr/>
      <dgm:t>
        <a:bodyPr/>
        <a:lstStyle/>
        <a:p>
          <a:endParaRPr lang="es-AR"/>
        </a:p>
      </dgm:t>
    </dgm:pt>
    <dgm:pt modelId="{72AA3A77-A64B-49B1-A3BE-DE4505291052}">
      <dgm:prSet phldrT="[Texto]"/>
      <dgm:spPr/>
      <dgm:t>
        <a:bodyPr/>
        <a:lstStyle/>
        <a:p>
          <a:r>
            <a:rPr lang="es-AR"/>
            <a:t>Atención a delitos. </a:t>
          </a:r>
        </a:p>
      </dgm:t>
    </dgm:pt>
    <dgm:pt modelId="{31E86DB9-8ED2-4AB0-9BD1-A77EA57855F3}" type="parTrans" cxnId="{C83F1A6A-FD82-45BA-A4B6-EE96F3005180}">
      <dgm:prSet/>
      <dgm:spPr/>
      <dgm:t>
        <a:bodyPr/>
        <a:lstStyle/>
        <a:p>
          <a:endParaRPr lang="es-AR"/>
        </a:p>
      </dgm:t>
    </dgm:pt>
    <dgm:pt modelId="{6FD1CBCB-A900-43AD-9AD2-7D8E95185968}" type="sibTrans" cxnId="{C83F1A6A-FD82-45BA-A4B6-EE96F3005180}">
      <dgm:prSet/>
      <dgm:spPr/>
      <dgm:t>
        <a:bodyPr/>
        <a:lstStyle/>
        <a:p>
          <a:endParaRPr lang="es-AR"/>
        </a:p>
      </dgm:t>
    </dgm:pt>
    <dgm:pt modelId="{DBCE13DF-9FE8-4F8F-A21B-149846142B32}" type="pres">
      <dgm:prSet presAssocID="{F0B6B92D-56A5-41C1-B28C-16CD5B0C8F91}" presName="Name0" presStyleCnt="0">
        <dgm:presLayoutVars>
          <dgm:dir/>
          <dgm:resizeHandles val="exact"/>
        </dgm:presLayoutVars>
      </dgm:prSet>
      <dgm:spPr/>
      <dgm:t>
        <a:bodyPr/>
        <a:lstStyle/>
        <a:p>
          <a:endParaRPr lang="es-MX"/>
        </a:p>
      </dgm:t>
    </dgm:pt>
    <dgm:pt modelId="{1F8C547C-0DF5-4F0A-B1D9-8FACB9762620}" type="pres">
      <dgm:prSet presAssocID="{5B6F06D0-5015-43B5-9D48-C75D8C28FAF4}" presName="composite" presStyleCnt="0"/>
      <dgm:spPr/>
    </dgm:pt>
    <dgm:pt modelId="{F9D804A4-95B8-40C8-9FBA-37ECA3B211BD}" type="pres">
      <dgm:prSet presAssocID="{5B6F06D0-5015-43B5-9D48-C75D8C28FAF4}" presName="rect1" presStyleLbl="trAlignAcc1" presStyleIdx="0" presStyleCnt="5">
        <dgm:presLayoutVars>
          <dgm:bulletEnabled val="1"/>
        </dgm:presLayoutVars>
      </dgm:prSet>
      <dgm:spPr/>
      <dgm:t>
        <a:bodyPr/>
        <a:lstStyle/>
        <a:p>
          <a:endParaRPr lang="es-MX"/>
        </a:p>
      </dgm:t>
    </dgm:pt>
    <dgm:pt modelId="{2218E932-1686-4FB0-8308-C062BB398CB4}" type="pres">
      <dgm:prSet presAssocID="{5B6F06D0-5015-43B5-9D48-C75D8C28FAF4}" presName="rect2"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2000" r="-62000"/>
          </a:stretch>
        </a:blipFill>
      </dgm:spPr>
    </dgm:pt>
    <dgm:pt modelId="{E42A2382-824F-435D-BBA8-F0DFBC1D1B41}" type="pres">
      <dgm:prSet presAssocID="{6A7FF06E-373D-4DB2-A385-E1691A4F3AD0}" presName="sibTrans" presStyleCnt="0"/>
      <dgm:spPr/>
    </dgm:pt>
    <dgm:pt modelId="{82C93CBF-BAB0-44AA-9445-BDF085B9191D}" type="pres">
      <dgm:prSet presAssocID="{5A64CD34-1F82-4711-9CFB-A3B680717732}" presName="composite" presStyleCnt="0"/>
      <dgm:spPr/>
    </dgm:pt>
    <dgm:pt modelId="{786937DA-E96B-4CBD-A783-AB051EBD804D}" type="pres">
      <dgm:prSet presAssocID="{5A64CD34-1F82-4711-9CFB-A3B680717732}" presName="rect1" presStyleLbl="trAlignAcc1" presStyleIdx="1" presStyleCnt="5">
        <dgm:presLayoutVars>
          <dgm:bulletEnabled val="1"/>
        </dgm:presLayoutVars>
      </dgm:prSet>
      <dgm:spPr/>
      <dgm:t>
        <a:bodyPr/>
        <a:lstStyle/>
        <a:p>
          <a:endParaRPr lang="es-MX"/>
        </a:p>
      </dgm:t>
    </dgm:pt>
    <dgm:pt modelId="{9FD1A162-0217-4A28-A55E-32930554FC62}" type="pres">
      <dgm:prSet presAssocID="{5A64CD34-1F82-4711-9CFB-A3B680717732}" presName="rect2"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7000" r="-77000"/>
          </a:stretch>
        </a:blipFill>
      </dgm:spPr>
    </dgm:pt>
    <dgm:pt modelId="{8D061185-61F3-4488-9B35-631639405410}" type="pres">
      <dgm:prSet presAssocID="{65955C5A-CFD7-4576-B415-EDD2319BA356}" presName="sibTrans" presStyleCnt="0"/>
      <dgm:spPr/>
    </dgm:pt>
    <dgm:pt modelId="{A95A4927-16B0-4159-A9F5-B5FCD8FBC7F8}" type="pres">
      <dgm:prSet presAssocID="{C2BB0CBA-47EE-454C-A3FD-4F53EBF64254}" presName="composite" presStyleCnt="0"/>
      <dgm:spPr/>
    </dgm:pt>
    <dgm:pt modelId="{9711BF36-6398-4D27-9724-A0150E3D27CE}" type="pres">
      <dgm:prSet presAssocID="{C2BB0CBA-47EE-454C-A3FD-4F53EBF64254}" presName="rect1" presStyleLbl="trAlignAcc1" presStyleIdx="2" presStyleCnt="5">
        <dgm:presLayoutVars>
          <dgm:bulletEnabled val="1"/>
        </dgm:presLayoutVars>
      </dgm:prSet>
      <dgm:spPr/>
      <dgm:t>
        <a:bodyPr/>
        <a:lstStyle/>
        <a:p>
          <a:endParaRPr lang="es-MX"/>
        </a:p>
      </dgm:t>
    </dgm:pt>
    <dgm:pt modelId="{0B169555-0317-49E2-AEB4-1C199C44AF48}" type="pres">
      <dgm:prSet presAssocID="{C2BB0CBA-47EE-454C-A3FD-4F53EBF64254}" presName="rect2"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2000" r="-62000"/>
          </a:stretch>
        </a:blipFill>
      </dgm:spPr>
    </dgm:pt>
    <dgm:pt modelId="{10D9E798-679E-44B5-A061-3CE319F3779F}" type="pres">
      <dgm:prSet presAssocID="{84226650-4BD4-45CF-A32A-90BF26188C31}" presName="sibTrans" presStyleCnt="0"/>
      <dgm:spPr/>
    </dgm:pt>
    <dgm:pt modelId="{B678095C-A5D3-4D20-B894-D18FFAB7D604}" type="pres">
      <dgm:prSet presAssocID="{1194EE20-FB56-430C-A336-ADD09232C269}" presName="composite" presStyleCnt="0"/>
      <dgm:spPr/>
    </dgm:pt>
    <dgm:pt modelId="{A8554C06-32E8-4A92-8BAB-752AB9EF160C}" type="pres">
      <dgm:prSet presAssocID="{1194EE20-FB56-430C-A336-ADD09232C269}" presName="rect1" presStyleLbl="trAlignAcc1" presStyleIdx="3" presStyleCnt="5">
        <dgm:presLayoutVars>
          <dgm:bulletEnabled val="1"/>
        </dgm:presLayoutVars>
      </dgm:prSet>
      <dgm:spPr/>
      <dgm:t>
        <a:bodyPr/>
        <a:lstStyle/>
        <a:p>
          <a:endParaRPr lang="es-MX"/>
        </a:p>
      </dgm:t>
    </dgm:pt>
    <dgm:pt modelId="{924923F2-01F7-4CE6-B0B3-E6BD18A0C295}" type="pres">
      <dgm:prSet presAssocID="{1194EE20-FB56-430C-A336-ADD09232C269}" presName="rect2"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77000" r="-77000"/>
          </a:stretch>
        </a:blipFill>
      </dgm:spPr>
    </dgm:pt>
    <dgm:pt modelId="{6A87FAE4-4F46-4849-B0A6-E4B22AE9D109}" type="pres">
      <dgm:prSet presAssocID="{21CCF102-90A3-4159-BCA4-5E48B9AE1C87}" presName="sibTrans" presStyleCnt="0"/>
      <dgm:spPr/>
    </dgm:pt>
    <dgm:pt modelId="{585E325F-E32F-465D-9BCB-2AD7686CB2CA}" type="pres">
      <dgm:prSet presAssocID="{72AA3A77-A64B-49B1-A3BE-DE4505291052}" presName="composite" presStyleCnt="0"/>
      <dgm:spPr/>
    </dgm:pt>
    <dgm:pt modelId="{FFB30DD9-8943-4D7A-954F-A21D8D7C8DD2}" type="pres">
      <dgm:prSet presAssocID="{72AA3A77-A64B-49B1-A3BE-DE4505291052}" presName="rect1" presStyleLbl="trAlignAcc1" presStyleIdx="4" presStyleCnt="5">
        <dgm:presLayoutVars>
          <dgm:bulletEnabled val="1"/>
        </dgm:presLayoutVars>
      </dgm:prSet>
      <dgm:spPr/>
      <dgm:t>
        <a:bodyPr/>
        <a:lstStyle/>
        <a:p>
          <a:endParaRPr lang="es-MX"/>
        </a:p>
      </dgm:t>
    </dgm:pt>
    <dgm:pt modelId="{7327B7A8-754A-41C9-A73E-DF9A66800F37}" type="pres">
      <dgm:prSet presAssocID="{72AA3A77-A64B-49B1-A3BE-DE4505291052}" presName="rect2"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83000" r="-83000"/>
          </a:stretch>
        </a:blipFill>
      </dgm:spPr>
    </dgm:pt>
  </dgm:ptLst>
  <dgm:cxnLst>
    <dgm:cxn modelId="{D889897B-B3C6-47EE-AA9E-2E4D52E886F6}" type="presOf" srcId="{72AA3A77-A64B-49B1-A3BE-DE4505291052}" destId="{FFB30DD9-8943-4D7A-954F-A21D8D7C8DD2}" srcOrd="0" destOrd="0" presId="urn:microsoft.com/office/officeart/2008/layout/PictureStrips"/>
    <dgm:cxn modelId="{CAAA032B-E1EA-4C50-B1FA-D6A2E67FDDE6}" type="presOf" srcId="{5B6F06D0-5015-43B5-9D48-C75D8C28FAF4}" destId="{F9D804A4-95B8-40C8-9FBA-37ECA3B211BD}" srcOrd="0" destOrd="0" presId="urn:microsoft.com/office/officeart/2008/layout/PictureStrips"/>
    <dgm:cxn modelId="{6AF672E9-C6F9-4E9D-B886-D6D2FEDC2F1B}" type="presOf" srcId="{5A64CD34-1F82-4711-9CFB-A3B680717732}" destId="{786937DA-E96B-4CBD-A783-AB051EBD804D}" srcOrd="0" destOrd="0" presId="urn:microsoft.com/office/officeart/2008/layout/PictureStrips"/>
    <dgm:cxn modelId="{86E4D0D2-EA74-4D73-BFB6-E7040EA79308}" srcId="{F0B6B92D-56A5-41C1-B28C-16CD5B0C8F91}" destId="{C2BB0CBA-47EE-454C-A3FD-4F53EBF64254}" srcOrd="2" destOrd="0" parTransId="{BEFA1746-43F9-4F96-A3A6-A423FAE110BC}" sibTransId="{84226650-4BD4-45CF-A32A-90BF26188C31}"/>
    <dgm:cxn modelId="{4984B12C-60FD-435B-9FF2-C3ECFA1BECC0}" type="presOf" srcId="{1194EE20-FB56-430C-A336-ADD09232C269}" destId="{A8554C06-32E8-4A92-8BAB-752AB9EF160C}" srcOrd="0" destOrd="0" presId="urn:microsoft.com/office/officeart/2008/layout/PictureStrips"/>
    <dgm:cxn modelId="{AF3FF29C-D48C-4947-9361-E4ACE9DA1A71}" type="presOf" srcId="{C2BB0CBA-47EE-454C-A3FD-4F53EBF64254}" destId="{9711BF36-6398-4D27-9724-A0150E3D27CE}" srcOrd="0" destOrd="0" presId="urn:microsoft.com/office/officeart/2008/layout/PictureStrips"/>
    <dgm:cxn modelId="{1FE65B0D-EA2C-4AA6-B6F5-B8AF14375724}" type="presOf" srcId="{F0B6B92D-56A5-41C1-B28C-16CD5B0C8F91}" destId="{DBCE13DF-9FE8-4F8F-A21B-149846142B32}" srcOrd="0" destOrd="0" presId="urn:microsoft.com/office/officeart/2008/layout/PictureStrips"/>
    <dgm:cxn modelId="{88E6A336-B92F-474E-AE84-12B2EB1B1775}" srcId="{F0B6B92D-56A5-41C1-B28C-16CD5B0C8F91}" destId="{5B6F06D0-5015-43B5-9D48-C75D8C28FAF4}" srcOrd="0" destOrd="0" parTransId="{AB2C79A6-E7E0-402A-9EA3-29F4D75697DE}" sibTransId="{6A7FF06E-373D-4DB2-A385-E1691A4F3AD0}"/>
    <dgm:cxn modelId="{C83F1A6A-FD82-45BA-A4B6-EE96F3005180}" srcId="{F0B6B92D-56A5-41C1-B28C-16CD5B0C8F91}" destId="{72AA3A77-A64B-49B1-A3BE-DE4505291052}" srcOrd="4" destOrd="0" parTransId="{31E86DB9-8ED2-4AB0-9BD1-A77EA57855F3}" sibTransId="{6FD1CBCB-A900-43AD-9AD2-7D8E95185968}"/>
    <dgm:cxn modelId="{5CFC3D3F-32AE-4544-B873-761E44BC07B0}" srcId="{F0B6B92D-56A5-41C1-B28C-16CD5B0C8F91}" destId="{1194EE20-FB56-430C-A336-ADD09232C269}" srcOrd="3" destOrd="0" parTransId="{B290FFA4-93DD-4F2B-8961-71ED9373F36E}" sibTransId="{21CCF102-90A3-4159-BCA4-5E48B9AE1C87}"/>
    <dgm:cxn modelId="{661E58E1-A0D6-4580-8EF3-17E1F24B39D1}" srcId="{F0B6B92D-56A5-41C1-B28C-16CD5B0C8F91}" destId="{5A64CD34-1F82-4711-9CFB-A3B680717732}" srcOrd="1" destOrd="0" parTransId="{82463CFF-659D-4422-BD1C-C571E5311474}" sibTransId="{65955C5A-CFD7-4576-B415-EDD2319BA356}"/>
    <dgm:cxn modelId="{D2F8ECEA-0AB5-4BC3-B6A9-AFB3B5C140AC}" type="presParOf" srcId="{DBCE13DF-9FE8-4F8F-A21B-149846142B32}" destId="{1F8C547C-0DF5-4F0A-B1D9-8FACB9762620}" srcOrd="0" destOrd="0" presId="urn:microsoft.com/office/officeart/2008/layout/PictureStrips"/>
    <dgm:cxn modelId="{14D0E19C-18B1-432C-8EA0-7CCB58D31E47}" type="presParOf" srcId="{1F8C547C-0DF5-4F0A-B1D9-8FACB9762620}" destId="{F9D804A4-95B8-40C8-9FBA-37ECA3B211BD}" srcOrd="0" destOrd="0" presId="urn:microsoft.com/office/officeart/2008/layout/PictureStrips"/>
    <dgm:cxn modelId="{9635E75C-194B-44FC-98BE-54AD0754A58D}" type="presParOf" srcId="{1F8C547C-0DF5-4F0A-B1D9-8FACB9762620}" destId="{2218E932-1686-4FB0-8308-C062BB398CB4}" srcOrd="1" destOrd="0" presId="urn:microsoft.com/office/officeart/2008/layout/PictureStrips"/>
    <dgm:cxn modelId="{8CF1D1C1-B952-4C51-946A-583A9FA58834}" type="presParOf" srcId="{DBCE13DF-9FE8-4F8F-A21B-149846142B32}" destId="{E42A2382-824F-435D-BBA8-F0DFBC1D1B41}" srcOrd="1" destOrd="0" presId="urn:microsoft.com/office/officeart/2008/layout/PictureStrips"/>
    <dgm:cxn modelId="{C9CCB365-A246-41E3-A8DA-94694666FBE7}" type="presParOf" srcId="{DBCE13DF-9FE8-4F8F-A21B-149846142B32}" destId="{82C93CBF-BAB0-44AA-9445-BDF085B9191D}" srcOrd="2" destOrd="0" presId="urn:microsoft.com/office/officeart/2008/layout/PictureStrips"/>
    <dgm:cxn modelId="{EEFA401D-A380-4460-B473-E45146F7FC1B}" type="presParOf" srcId="{82C93CBF-BAB0-44AA-9445-BDF085B9191D}" destId="{786937DA-E96B-4CBD-A783-AB051EBD804D}" srcOrd="0" destOrd="0" presId="urn:microsoft.com/office/officeart/2008/layout/PictureStrips"/>
    <dgm:cxn modelId="{5C563AA6-9164-423B-8D89-4DD086F7F148}" type="presParOf" srcId="{82C93CBF-BAB0-44AA-9445-BDF085B9191D}" destId="{9FD1A162-0217-4A28-A55E-32930554FC62}" srcOrd="1" destOrd="0" presId="urn:microsoft.com/office/officeart/2008/layout/PictureStrips"/>
    <dgm:cxn modelId="{C1351DAE-F6ED-4B52-BF05-2B9620754E9D}" type="presParOf" srcId="{DBCE13DF-9FE8-4F8F-A21B-149846142B32}" destId="{8D061185-61F3-4488-9B35-631639405410}" srcOrd="3" destOrd="0" presId="urn:microsoft.com/office/officeart/2008/layout/PictureStrips"/>
    <dgm:cxn modelId="{2C6E0FDF-8BB3-4537-850B-F66F33417B1D}" type="presParOf" srcId="{DBCE13DF-9FE8-4F8F-A21B-149846142B32}" destId="{A95A4927-16B0-4159-A9F5-B5FCD8FBC7F8}" srcOrd="4" destOrd="0" presId="urn:microsoft.com/office/officeart/2008/layout/PictureStrips"/>
    <dgm:cxn modelId="{22F2C86A-1946-4AB1-9AEB-01F639CADC08}" type="presParOf" srcId="{A95A4927-16B0-4159-A9F5-B5FCD8FBC7F8}" destId="{9711BF36-6398-4D27-9724-A0150E3D27CE}" srcOrd="0" destOrd="0" presId="urn:microsoft.com/office/officeart/2008/layout/PictureStrips"/>
    <dgm:cxn modelId="{BBC58E1D-DE93-40AB-98AC-9EF14B96AB67}" type="presParOf" srcId="{A95A4927-16B0-4159-A9F5-B5FCD8FBC7F8}" destId="{0B169555-0317-49E2-AEB4-1C199C44AF48}" srcOrd="1" destOrd="0" presId="urn:microsoft.com/office/officeart/2008/layout/PictureStrips"/>
    <dgm:cxn modelId="{37658B84-62F9-4E71-A6F3-D2BF922690E4}" type="presParOf" srcId="{DBCE13DF-9FE8-4F8F-A21B-149846142B32}" destId="{10D9E798-679E-44B5-A061-3CE319F3779F}" srcOrd="5" destOrd="0" presId="urn:microsoft.com/office/officeart/2008/layout/PictureStrips"/>
    <dgm:cxn modelId="{F329BA9C-E754-477A-9955-AD1FF2CA3641}" type="presParOf" srcId="{DBCE13DF-9FE8-4F8F-A21B-149846142B32}" destId="{B678095C-A5D3-4D20-B894-D18FFAB7D604}" srcOrd="6" destOrd="0" presId="urn:microsoft.com/office/officeart/2008/layout/PictureStrips"/>
    <dgm:cxn modelId="{6288B337-E212-4931-B83B-A3B6E2875A8B}" type="presParOf" srcId="{B678095C-A5D3-4D20-B894-D18FFAB7D604}" destId="{A8554C06-32E8-4A92-8BAB-752AB9EF160C}" srcOrd="0" destOrd="0" presId="urn:microsoft.com/office/officeart/2008/layout/PictureStrips"/>
    <dgm:cxn modelId="{AFE8B48E-1623-4256-80FE-E2C711E35655}" type="presParOf" srcId="{B678095C-A5D3-4D20-B894-D18FFAB7D604}" destId="{924923F2-01F7-4CE6-B0B3-E6BD18A0C295}" srcOrd="1" destOrd="0" presId="urn:microsoft.com/office/officeart/2008/layout/PictureStrips"/>
    <dgm:cxn modelId="{B3ABDEF0-B53B-4A6D-927E-0B63C778C449}" type="presParOf" srcId="{DBCE13DF-9FE8-4F8F-A21B-149846142B32}" destId="{6A87FAE4-4F46-4849-B0A6-E4B22AE9D109}" srcOrd="7" destOrd="0" presId="urn:microsoft.com/office/officeart/2008/layout/PictureStrips"/>
    <dgm:cxn modelId="{1440E223-6931-481A-93C7-05588B01B58E}" type="presParOf" srcId="{DBCE13DF-9FE8-4F8F-A21B-149846142B32}" destId="{585E325F-E32F-465D-9BCB-2AD7686CB2CA}" srcOrd="8" destOrd="0" presId="urn:microsoft.com/office/officeart/2008/layout/PictureStrips"/>
    <dgm:cxn modelId="{024BFCFF-3317-4806-B97D-78A4E24F24C1}" type="presParOf" srcId="{585E325F-E32F-465D-9BCB-2AD7686CB2CA}" destId="{FFB30DD9-8943-4D7A-954F-A21D8D7C8DD2}" srcOrd="0" destOrd="0" presId="urn:microsoft.com/office/officeart/2008/layout/PictureStrips"/>
    <dgm:cxn modelId="{E32CDC87-344B-4056-8478-D3F970719C28}" type="presParOf" srcId="{585E325F-E32F-465D-9BCB-2AD7686CB2CA}" destId="{7327B7A8-754A-41C9-A73E-DF9A66800F37}" srcOrd="1" destOrd="0" presId="urn:microsoft.com/office/officeart/2008/layout/PictureStrips"/>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47E59-D2B6-4C64-B43B-DB84D2EEA775}">
      <dsp:nvSpPr>
        <dsp:cNvPr id="0" name=""/>
        <dsp:cNvSpPr/>
      </dsp:nvSpPr>
      <dsp:spPr>
        <a:xfrm>
          <a:off x="685" y="16070"/>
          <a:ext cx="1335895" cy="133589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3519" tIns="8890" rIns="73519" bIns="8890" numCol="1" spcCol="1270" anchor="ctr" anchorCtr="0">
          <a:noAutofit/>
        </a:bodyPr>
        <a:lstStyle/>
        <a:p>
          <a:pPr lvl="0" algn="ctr" defTabSz="311150">
            <a:lnSpc>
              <a:spcPct val="90000"/>
            </a:lnSpc>
            <a:spcBef>
              <a:spcPct val="0"/>
            </a:spcBef>
            <a:spcAft>
              <a:spcPct val="35000"/>
            </a:spcAft>
          </a:pPr>
          <a:r>
            <a:rPr lang="es-AR" sz="700" b="1" kern="1200">
              <a:latin typeface="Arial" panose="020B0604020202020204" pitchFamily="34" charset="0"/>
              <a:cs typeface="Arial" panose="020B0604020202020204" pitchFamily="34" charset="0"/>
            </a:rPr>
            <a:t>NIÑEZ EN SITAUCIÓN DE POBREZA. </a:t>
          </a:r>
        </a:p>
      </dsp:txBody>
      <dsp:txXfrm>
        <a:off x="196322" y="211707"/>
        <a:ext cx="944621" cy="944621"/>
      </dsp:txXfrm>
    </dsp:sp>
    <dsp:sp modelId="{652CA0FF-39B6-40C0-8783-F4D44A3C3D8D}">
      <dsp:nvSpPr>
        <dsp:cNvPr id="0" name=""/>
        <dsp:cNvSpPr/>
      </dsp:nvSpPr>
      <dsp:spPr>
        <a:xfrm>
          <a:off x="1069401" y="16070"/>
          <a:ext cx="1335895" cy="1335895"/>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3519" tIns="8890" rIns="73519" bIns="8890" numCol="1" spcCol="1270" anchor="ctr" anchorCtr="0">
          <a:noAutofit/>
        </a:bodyPr>
        <a:lstStyle/>
        <a:p>
          <a:pPr lvl="0" algn="ctr" defTabSz="311150">
            <a:lnSpc>
              <a:spcPct val="90000"/>
            </a:lnSpc>
            <a:spcBef>
              <a:spcPct val="0"/>
            </a:spcBef>
            <a:spcAft>
              <a:spcPct val="35000"/>
            </a:spcAft>
          </a:pPr>
          <a:r>
            <a:rPr lang="es-AR" sz="700" b="1" kern="1200">
              <a:latin typeface="Arial" panose="020B0604020202020204" pitchFamily="34" charset="0"/>
              <a:cs typeface="Arial" panose="020B0604020202020204" pitchFamily="34" charset="0"/>
            </a:rPr>
            <a:t>ADULTOS MAYORES.</a:t>
          </a:r>
        </a:p>
      </dsp:txBody>
      <dsp:txXfrm>
        <a:off x="1265038" y="211707"/>
        <a:ext cx="944621" cy="944621"/>
      </dsp:txXfrm>
    </dsp:sp>
    <dsp:sp modelId="{E1E1C47F-DAF6-427A-BD04-3A5663EC6C36}">
      <dsp:nvSpPr>
        <dsp:cNvPr id="0" name=""/>
        <dsp:cNvSpPr/>
      </dsp:nvSpPr>
      <dsp:spPr>
        <a:xfrm>
          <a:off x="2138117" y="16070"/>
          <a:ext cx="1335895" cy="133589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3519" tIns="8890" rIns="73519" bIns="8890" numCol="1" spcCol="1270" anchor="ctr" anchorCtr="0">
          <a:noAutofit/>
        </a:bodyPr>
        <a:lstStyle/>
        <a:p>
          <a:pPr lvl="0" algn="ctr" defTabSz="311150">
            <a:lnSpc>
              <a:spcPct val="90000"/>
            </a:lnSpc>
            <a:spcBef>
              <a:spcPct val="0"/>
            </a:spcBef>
            <a:spcAft>
              <a:spcPct val="35000"/>
            </a:spcAft>
          </a:pPr>
          <a:r>
            <a:rPr lang="es-AR" sz="700" b="1" kern="1200">
              <a:latin typeface="Arial" panose="020B0604020202020204" pitchFamily="34" charset="0"/>
              <a:cs typeface="Arial" panose="020B0604020202020204" pitchFamily="34" charset="0"/>
            </a:rPr>
            <a:t>INDÍGENAS MEXIQUENSES.</a:t>
          </a:r>
        </a:p>
      </dsp:txBody>
      <dsp:txXfrm>
        <a:off x="2333754" y="211707"/>
        <a:ext cx="944621" cy="944621"/>
      </dsp:txXfrm>
    </dsp:sp>
    <dsp:sp modelId="{96867560-B44E-4728-8703-0B4311783A93}">
      <dsp:nvSpPr>
        <dsp:cNvPr id="0" name=""/>
        <dsp:cNvSpPr/>
      </dsp:nvSpPr>
      <dsp:spPr>
        <a:xfrm>
          <a:off x="3206833" y="16070"/>
          <a:ext cx="1335895" cy="133589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3519" tIns="8890" rIns="73519" bIns="8890" numCol="1" spcCol="1270" anchor="ctr" anchorCtr="0">
          <a:noAutofit/>
        </a:bodyPr>
        <a:lstStyle/>
        <a:p>
          <a:pPr lvl="0" algn="ctr" defTabSz="311150">
            <a:lnSpc>
              <a:spcPct val="90000"/>
            </a:lnSpc>
            <a:spcBef>
              <a:spcPct val="0"/>
            </a:spcBef>
            <a:spcAft>
              <a:spcPct val="35000"/>
            </a:spcAft>
          </a:pPr>
          <a:r>
            <a:rPr lang="es-AR" sz="700" b="1" kern="1200">
              <a:latin typeface="Arial" panose="020B0604020202020204" pitchFamily="34" charset="0"/>
              <a:cs typeface="Arial" panose="020B0604020202020204" pitchFamily="34" charset="0"/>
            </a:rPr>
            <a:t>PERSONAS CON DISCAPADIDAD.</a:t>
          </a:r>
        </a:p>
      </dsp:txBody>
      <dsp:txXfrm>
        <a:off x="3402470" y="211707"/>
        <a:ext cx="944621" cy="944621"/>
      </dsp:txXfrm>
    </dsp:sp>
    <dsp:sp modelId="{63F0C20E-E722-42B4-A655-3B113C9BDDBC}">
      <dsp:nvSpPr>
        <dsp:cNvPr id="0" name=""/>
        <dsp:cNvSpPr/>
      </dsp:nvSpPr>
      <dsp:spPr>
        <a:xfrm>
          <a:off x="4275549" y="16070"/>
          <a:ext cx="1335895" cy="1335895"/>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3519" tIns="8890" rIns="73519" bIns="8890" numCol="1" spcCol="1270" anchor="ctr" anchorCtr="0">
          <a:noAutofit/>
        </a:bodyPr>
        <a:lstStyle/>
        <a:p>
          <a:pPr lvl="0" algn="ctr" defTabSz="311150">
            <a:lnSpc>
              <a:spcPct val="90000"/>
            </a:lnSpc>
            <a:spcBef>
              <a:spcPct val="0"/>
            </a:spcBef>
            <a:spcAft>
              <a:spcPct val="35000"/>
            </a:spcAft>
          </a:pPr>
          <a:r>
            <a:rPr lang="es-AR" sz="700" b="1" kern="1200">
              <a:latin typeface="Arial" panose="020B0604020202020204" pitchFamily="34" charset="0"/>
              <a:cs typeface="Arial" panose="020B0604020202020204" pitchFamily="34" charset="0"/>
            </a:rPr>
            <a:t>MIGRANTES.</a:t>
          </a:r>
        </a:p>
      </dsp:txBody>
      <dsp:txXfrm>
        <a:off x="4471186" y="211707"/>
        <a:ext cx="944621" cy="944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ADAC4-5156-4602-A93A-CAA00AB9CBA6}">
      <dsp:nvSpPr>
        <dsp:cNvPr id="0" name=""/>
        <dsp:cNvSpPr/>
      </dsp:nvSpPr>
      <dsp:spPr>
        <a:xfrm>
          <a:off x="2167428" y="18262"/>
          <a:ext cx="1205331" cy="1205331"/>
        </a:xfrm>
        <a:prstGeom prst="triangl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Nuevo método de enseñanza. </a:t>
          </a:r>
        </a:p>
      </dsp:txBody>
      <dsp:txXfrm>
        <a:off x="2468761" y="620928"/>
        <a:ext cx="602665" cy="602665"/>
      </dsp:txXfrm>
    </dsp:sp>
    <dsp:sp modelId="{D0013C7A-B101-46D3-9272-DADAE9FA0D00}">
      <dsp:nvSpPr>
        <dsp:cNvPr id="0" name=""/>
        <dsp:cNvSpPr/>
      </dsp:nvSpPr>
      <dsp:spPr>
        <a:xfrm>
          <a:off x="1564762" y="1223594"/>
          <a:ext cx="1205331" cy="1205331"/>
        </a:xfrm>
        <a:prstGeom prst="triangle">
          <a:avLst/>
        </a:prstGeom>
        <a:gradFill rotWithShape="0">
          <a:gsLst>
            <a:gs pos="0">
              <a:schemeClr val="accent4">
                <a:hueOff val="1225111"/>
                <a:satOff val="-5097"/>
                <a:lumOff val="1201"/>
                <a:alphaOff val="0"/>
                <a:lumMod val="110000"/>
                <a:satMod val="105000"/>
                <a:tint val="67000"/>
              </a:schemeClr>
            </a:gs>
            <a:gs pos="50000">
              <a:schemeClr val="accent4">
                <a:hueOff val="1225111"/>
                <a:satOff val="-5097"/>
                <a:lumOff val="1201"/>
                <a:alphaOff val="0"/>
                <a:lumMod val="105000"/>
                <a:satMod val="103000"/>
                <a:tint val="73000"/>
              </a:schemeClr>
            </a:gs>
            <a:gs pos="100000">
              <a:schemeClr val="accent4">
                <a:hueOff val="1225111"/>
                <a:satOff val="-5097"/>
                <a:lumOff val="120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Plataformas digitales.</a:t>
          </a:r>
        </a:p>
      </dsp:txBody>
      <dsp:txXfrm>
        <a:off x="1866095" y="1826260"/>
        <a:ext cx="602665" cy="602665"/>
      </dsp:txXfrm>
    </dsp:sp>
    <dsp:sp modelId="{BBC7FF26-8B95-40B1-A26C-5D053493745B}">
      <dsp:nvSpPr>
        <dsp:cNvPr id="0" name=""/>
        <dsp:cNvSpPr/>
      </dsp:nvSpPr>
      <dsp:spPr>
        <a:xfrm rot="10800000">
          <a:off x="2167428" y="1223594"/>
          <a:ext cx="1205331" cy="1205331"/>
        </a:xfrm>
        <a:prstGeom prst="triangle">
          <a:avLst/>
        </a:prstGeom>
        <a:gradFill rotWithShape="0">
          <a:gsLst>
            <a:gs pos="0">
              <a:schemeClr val="accent4">
                <a:hueOff val="2450223"/>
                <a:satOff val="-10194"/>
                <a:lumOff val="2402"/>
                <a:alphaOff val="0"/>
                <a:lumMod val="110000"/>
                <a:satMod val="105000"/>
                <a:tint val="67000"/>
              </a:schemeClr>
            </a:gs>
            <a:gs pos="50000">
              <a:schemeClr val="accent4">
                <a:hueOff val="2450223"/>
                <a:satOff val="-10194"/>
                <a:lumOff val="2402"/>
                <a:alphaOff val="0"/>
                <a:lumMod val="105000"/>
                <a:satMod val="103000"/>
                <a:tint val="73000"/>
              </a:schemeClr>
            </a:gs>
            <a:gs pos="100000">
              <a:schemeClr val="accent4">
                <a:hueOff val="2450223"/>
                <a:satOff val="-10194"/>
                <a:lumOff val="24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Acceso a las TIC'S.</a:t>
          </a:r>
        </a:p>
      </dsp:txBody>
      <dsp:txXfrm rot="10800000">
        <a:off x="2468761" y="1223594"/>
        <a:ext cx="602665" cy="602665"/>
      </dsp:txXfrm>
    </dsp:sp>
    <dsp:sp modelId="{6521CA11-F4F6-41F8-8758-7DA2CE269218}">
      <dsp:nvSpPr>
        <dsp:cNvPr id="0" name=""/>
        <dsp:cNvSpPr/>
      </dsp:nvSpPr>
      <dsp:spPr>
        <a:xfrm>
          <a:off x="2770094" y="1223594"/>
          <a:ext cx="1205331" cy="1205331"/>
        </a:xfrm>
        <a:prstGeom prst="triangle">
          <a:avLst/>
        </a:prstGeom>
        <a:gradFill rotWithShape="0">
          <a:gsLst>
            <a:gs pos="0">
              <a:schemeClr val="accent4">
                <a:hueOff val="3675334"/>
                <a:satOff val="-15291"/>
                <a:lumOff val="3603"/>
                <a:alphaOff val="0"/>
                <a:lumMod val="110000"/>
                <a:satMod val="105000"/>
                <a:tint val="67000"/>
              </a:schemeClr>
            </a:gs>
            <a:gs pos="50000">
              <a:schemeClr val="accent4">
                <a:hueOff val="3675334"/>
                <a:satOff val="-15291"/>
                <a:lumOff val="3603"/>
                <a:alphaOff val="0"/>
                <a:lumMod val="105000"/>
                <a:satMod val="103000"/>
                <a:tint val="73000"/>
              </a:schemeClr>
            </a:gs>
            <a:gs pos="100000">
              <a:schemeClr val="accent4">
                <a:hueOff val="3675334"/>
                <a:satOff val="-15291"/>
                <a:lumOff val="36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Calidad de la eduación. </a:t>
          </a:r>
        </a:p>
      </dsp:txBody>
      <dsp:txXfrm>
        <a:off x="3071427" y="1826260"/>
        <a:ext cx="602665" cy="602665"/>
      </dsp:txXfrm>
    </dsp:sp>
    <dsp:sp modelId="{59F41618-F55D-4E59-8903-2058B84FD415}">
      <dsp:nvSpPr>
        <dsp:cNvPr id="0" name=""/>
        <dsp:cNvSpPr/>
      </dsp:nvSpPr>
      <dsp:spPr>
        <a:xfrm>
          <a:off x="962096" y="2428925"/>
          <a:ext cx="1205331" cy="1205331"/>
        </a:xfrm>
        <a:prstGeom prst="triangle">
          <a:avLst/>
        </a:prstGeom>
        <a:gradFill rotWithShape="0">
          <a:gsLst>
            <a:gs pos="0">
              <a:schemeClr val="accent4">
                <a:hueOff val="4900445"/>
                <a:satOff val="-20388"/>
                <a:lumOff val="4804"/>
                <a:alphaOff val="0"/>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Carga excesiva de trabajos. </a:t>
          </a:r>
        </a:p>
      </dsp:txBody>
      <dsp:txXfrm>
        <a:off x="1263429" y="3031591"/>
        <a:ext cx="602665" cy="602665"/>
      </dsp:txXfrm>
    </dsp:sp>
    <dsp:sp modelId="{D27103D7-BFCA-445F-8AF1-B7B4A81C9F39}">
      <dsp:nvSpPr>
        <dsp:cNvPr id="0" name=""/>
        <dsp:cNvSpPr/>
      </dsp:nvSpPr>
      <dsp:spPr>
        <a:xfrm rot="10800000">
          <a:off x="1564762" y="2428925"/>
          <a:ext cx="1205331" cy="1205331"/>
        </a:xfrm>
        <a:prstGeom prst="triangle">
          <a:avLst/>
        </a:prstGeom>
        <a:gradFill rotWithShape="0">
          <a:gsLst>
            <a:gs pos="0">
              <a:schemeClr val="accent4">
                <a:hueOff val="6125556"/>
                <a:satOff val="-25486"/>
                <a:lumOff val="6005"/>
                <a:alphaOff val="0"/>
                <a:lumMod val="110000"/>
                <a:satMod val="105000"/>
                <a:tint val="67000"/>
              </a:schemeClr>
            </a:gs>
            <a:gs pos="50000">
              <a:schemeClr val="accent4">
                <a:hueOff val="6125556"/>
                <a:satOff val="-25486"/>
                <a:lumOff val="6005"/>
                <a:alphaOff val="0"/>
                <a:lumMod val="105000"/>
                <a:satMod val="103000"/>
                <a:tint val="73000"/>
              </a:schemeClr>
            </a:gs>
            <a:gs pos="100000">
              <a:schemeClr val="accent4">
                <a:hueOff val="6125556"/>
                <a:satOff val="-25486"/>
                <a:lumOff val="60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Contacto físico. </a:t>
          </a:r>
        </a:p>
      </dsp:txBody>
      <dsp:txXfrm rot="10800000">
        <a:off x="1866095" y="2428925"/>
        <a:ext cx="602665" cy="602665"/>
      </dsp:txXfrm>
    </dsp:sp>
    <dsp:sp modelId="{CED8B7A4-B5A4-4682-ADFC-B0295D7454C9}">
      <dsp:nvSpPr>
        <dsp:cNvPr id="0" name=""/>
        <dsp:cNvSpPr/>
      </dsp:nvSpPr>
      <dsp:spPr>
        <a:xfrm>
          <a:off x="2167428" y="2428925"/>
          <a:ext cx="1205331" cy="1205331"/>
        </a:xfrm>
        <a:prstGeom prst="triangle">
          <a:avLst/>
        </a:prstGeom>
        <a:gradFill rotWithShape="0">
          <a:gsLst>
            <a:gs pos="0">
              <a:schemeClr val="accent4">
                <a:hueOff val="7350668"/>
                <a:satOff val="-30583"/>
                <a:lumOff val="7206"/>
                <a:alphaOff val="0"/>
                <a:lumMod val="110000"/>
                <a:satMod val="105000"/>
                <a:tint val="67000"/>
              </a:schemeClr>
            </a:gs>
            <a:gs pos="50000">
              <a:schemeClr val="accent4">
                <a:hueOff val="7350668"/>
                <a:satOff val="-30583"/>
                <a:lumOff val="7206"/>
                <a:alphaOff val="0"/>
                <a:lumMod val="105000"/>
                <a:satMod val="103000"/>
                <a:tint val="73000"/>
              </a:schemeClr>
            </a:gs>
            <a:gs pos="100000">
              <a:schemeClr val="accent4">
                <a:hueOff val="7350668"/>
                <a:satOff val="-30583"/>
                <a:lumOff val="72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Estrés.</a:t>
          </a:r>
        </a:p>
      </dsp:txBody>
      <dsp:txXfrm>
        <a:off x="2468761" y="3031591"/>
        <a:ext cx="602665" cy="602665"/>
      </dsp:txXfrm>
    </dsp:sp>
    <dsp:sp modelId="{E3A6D613-2D6B-43D7-8CDC-E5A5B942968C}">
      <dsp:nvSpPr>
        <dsp:cNvPr id="0" name=""/>
        <dsp:cNvSpPr/>
      </dsp:nvSpPr>
      <dsp:spPr>
        <a:xfrm rot="10800000">
          <a:off x="2770094" y="2428925"/>
          <a:ext cx="1205331" cy="1205331"/>
        </a:xfrm>
        <a:prstGeom prst="triangle">
          <a:avLst/>
        </a:prstGeom>
        <a:gradFill rotWithShape="0">
          <a:gsLst>
            <a:gs pos="0">
              <a:schemeClr val="accent4">
                <a:hueOff val="8575779"/>
                <a:satOff val="-35680"/>
                <a:lumOff val="8407"/>
                <a:alphaOff val="0"/>
                <a:lumMod val="110000"/>
                <a:satMod val="105000"/>
                <a:tint val="67000"/>
              </a:schemeClr>
            </a:gs>
            <a:gs pos="50000">
              <a:schemeClr val="accent4">
                <a:hueOff val="8575779"/>
                <a:satOff val="-35680"/>
                <a:lumOff val="8407"/>
                <a:alphaOff val="0"/>
                <a:lumMod val="105000"/>
                <a:satMod val="103000"/>
                <a:tint val="73000"/>
              </a:schemeClr>
            </a:gs>
            <a:gs pos="100000">
              <a:schemeClr val="accent4">
                <a:hueOff val="8575779"/>
                <a:satOff val="-35680"/>
                <a:lumOff val="84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Rezago educativo.</a:t>
          </a:r>
        </a:p>
      </dsp:txBody>
      <dsp:txXfrm rot="10800000">
        <a:off x="3071427" y="2428925"/>
        <a:ext cx="602665" cy="602665"/>
      </dsp:txXfrm>
    </dsp:sp>
    <dsp:sp modelId="{969897B5-1BA5-4995-AFC0-139C7B74CE05}">
      <dsp:nvSpPr>
        <dsp:cNvPr id="0" name=""/>
        <dsp:cNvSpPr/>
      </dsp:nvSpPr>
      <dsp:spPr>
        <a:xfrm>
          <a:off x="3372759" y="2428925"/>
          <a:ext cx="1205331" cy="1205331"/>
        </a:xfrm>
        <a:prstGeom prst="triangle">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AR" sz="800" kern="1200"/>
            <a:t>Acceso igualitario a la educación.</a:t>
          </a:r>
        </a:p>
      </dsp:txBody>
      <dsp:txXfrm>
        <a:off x="3674092" y="3031591"/>
        <a:ext cx="602665" cy="6026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8267C-DAA2-46B2-BD22-9C640261B29B}">
      <dsp:nvSpPr>
        <dsp:cNvPr id="0" name=""/>
        <dsp:cNvSpPr/>
      </dsp:nvSpPr>
      <dsp:spPr>
        <a:xfrm>
          <a:off x="0" y="354524"/>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A4EA62A-2DD2-4181-95DA-005E7B2BB09B}">
      <dsp:nvSpPr>
        <dsp:cNvPr id="0" name=""/>
        <dsp:cNvSpPr/>
      </dsp:nvSpPr>
      <dsp:spPr>
        <a:xfrm>
          <a:off x="278130" y="206924"/>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Impulsar la creatividad y el emprendimiento.</a:t>
          </a:r>
        </a:p>
      </dsp:txBody>
      <dsp:txXfrm>
        <a:off x="292540" y="221334"/>
        <a:ext cx="3865000" cy="266380"/>
      </dsp:txXfrm>
    </dsp:sp>
    <dsp:sp modelId="{35F8D470-B456-452F-9536-90EF95415E82}">
      <dsp:nvSpPr>
        <dsp:cNvPr id="0" name=""/>
        <dsp:cNvSpPr/>
      </dsp:nvSpPr>
      <dsp:spPr>
        <a:xfrm>
          <a:off x="0" y="808124"/>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1D7E140-67DC-47BB-AD51-ACD033A0D61F}">
      <dsp:nvSpPr>
        <dsp:cNvPr id="0" name=""/>
        <dsp:cNvSpPr/>
      </dsp:nvSpPr>
      <dsp:spPr>
        <a:xfrm>
          <a:off x="278130" y="660524"/>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Incrementar la empeabilidad de los egresados de educación media superior y superior. </a:t>
          </a:r>
        </a:p>
      </dsp:txBody>
      <dsp:txXfrm>
        <a:off x="292540" y="674934"/>
        <a:ext cx="3865000" cy="266380"/>
      </dsp:txXfrm>
    </dsp:sp>
    <dsp:sp modelId="{AF6943CF-5BEC-4CD7-AD62-1A409A83B085}">
      <dsp:nvSpPr>
        <dsp:cNvPr id="0" name=""/>
        <dsp:cNvSpPr/>
      </dsp:nvSpPr>
      <dsp:spPr>
        <a:xfrm>
          <a:off x="0" y="1261724"/>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61FF865-BD43-484F-BA0E-E61F0BFF8D4D}">
      <dsp:nvSpPr>
        <dsp:cNvPr id="0" name=""/>
        <dsp:cNvSpPr/>
      </dsp:nvSpPr>
      <dsp:spPr>
        <a:xfrm>
          <a:off x="278130" y="1114124"/>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Certificaciones en idiomas.</a:t>
          </a:r>
        </a:p>
      </dsp:txBody>
      <dsp:txXfrm>
        <a:off x="292540" y="1128534"/>
        <a:ext cx="3865000" cy="266380"/>
      </dsp:txXfrm>
    </dsp:sp>
    <dsp:sp modelId="{8FD75750-506A-48C1-A806-B2C27EB1B907}">
      <dsp:nvSpPr>
        <dsp:cNvPr id="0" name=""/>
        <dsp:cNvSpPr/>
      </dsp:nvSpPr>
      <dsp:spPr>
        <a:xfrm>
          <a:off x="0" y="1715324"/>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E7201C2-28D7-42EF-B757-754FC68BFB42}">
      <dsp:nvSpPr>
        <dsp:cNvPr id="0" name=""/>
        <dsp:cNvSpPr/>
      </dsp:nvSpPr>
      <dsp:spPr>
        <a:xfrm>
          <a:off x="278130" y="1567724"/>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Planes y programas de calidad.</a:t>
          </a:r>
        </a:p>
      </dsp:txBody>
      <dsp:txXfrm>
        <a:off x="292540" y="1582134"/>
        <a:ext cx="3865000" cy="266380"/>
      </dsp:txXfrm>
    </dsp:sp>
    <dsp:sp modelId="{9B77ED53-06A6-4853-98D5-0872DAA595F7}">
      <dsp:nvSpPr>
        <dsp:cNvPr id="0" name=""/>
        <dsp:cNvSpPr/>
      </dsp:nvSpPr>
      <dsp:spPr>
        <a:xfrm>
          <a:off x="0" y="2168924"/>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D624344-9EFA-424F-8245-A06A807E9B84}">
      <dsp:nvSpPr>
        <dsp:cNvPr id="0" name=""/>
        <dsp:cNvSpPr/>
      </dsp:nvSpPr>
      <dsp:spPr>
        <a:xfrm>
          <a:off x="278130" y="2021324"/>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Disminuir el rezago eduactivo.</a:t>
          </a:r>
        </a:p>
      </dsp:txBody>
      <dsp:txXfrm>
        <a:off x="292540" y="2035734"/>
        <a:ext cx="3865000" cy="266380"/>
      </dsp:txXfrm>
    </dsp:sp>
    <dsp:sp modelId="{9B248A76-783D-4115-8774-5E930FE536CA}">
      <dsp:nvSpPr>
        <dsp:cNvPr id="0" name=""/>
        <dsp:cNvSpPr/>
      </dsp:nvSpPr>
      <dsp:spPr>
        <a:xfrm>
          <a:off x="0" y="2622525"/>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4FD36B2-0682-4ECC-A41F-C589F24E8F35}">
      <dsp:nvSpPr>
        <dsp:cNvPr id="0" name=""/>
        <dsp:cNvSpPr/>
      </dsp:nvSpPr>
      <dsp:spPr>
        <a:xfrm>
          <a:off x="278130" y="2474924"/>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Infraestructura física educativa.</a:t>
          </a:r>
        </a:p>
      </dsp:txBody>
      <dsp:txXfrm>
        <a:off x="292540" y="2489334"/>
        <a:ext cx="3865000" cy="266380"/>
      </dsp:txXfrm>
    </dsp:sp>
    <dsp:sp modelId="{26EB730F-ED3A-48FA-ADCE-5D8EEAA9AAD4}">
      <dsp:nvSpPr>
        <dsp:cNvPr id="0" name=""/>
        <dsp:cNvSpPr/>
      </dsp:nvSpPr>
      <dsp:spPr>
        <a:xfrm>
          <a:off x="0" y="3076124"/>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5D56090-9D29-4B3F-967B-58148910D1D8}">
      <dsp:nvSpPr>
        <dsp:cNvPr id="0" name=""/>
        <dsp:cNvSpPr/>
      </dsp:nvSpPr>
      <dsp:spPr>
        <a:xfrm>
          <a:off x="278130" y="2928525"/>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Aumentar el número de becas disponibles para los estudiantes.</a:t>
          </a:r>
        </a:p>
      </dsp:txBody>
      <dsp:txXfrm>
        <a:off x="292540" y="2942935"/>
        <a:ext cx="3865000" cy="266380"/>
      </dsp:txXfrm>
    </dsp:sp>
    <dsp:sp modelId="{E4195CC8-E693-44EC-BC00-7D6F467E2D3A}">
      <dsp:nvSpPr>
        <dsp:cNvPr id="0" name=""/>
        <dsp:cNvSpPr/>
      </dsp:nvSpPr>
      <dsp:spPr>
        <a:xfrm>
          <a:off x="0" y="3529725"/>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0118772-0D60-4FDC-A273-181ACB18C39B}">
      <dsp:nvSpPr>
        <dsp:cNvPr id="0" name=""/>
        <dsp:cNvSpPr/>
      </dsp:nvSpPr>
      <dsp:spPr>
        <a:xfrm>
          <a:off x="278130" y="3382125"/>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Aumentar los apoyos de tipo económico para la población estudiantil.</a:t>
          </a:r>
        </a:p>
      </dsp:txBody>
      <dsp:txXfrm>
        <a:off x="292540" y="3396535"/>
        <a:ext cx="3865000" cy="266380"/>
      </dsp:txXfrm>
    </dsp:sp>
    <dsp:sp modelId="{27EB0036-D476-4C7E-BDC7-43E67D91A2A0}">
      <dsp:nvSpPr>
        <dsp:cNvPr id="0" name=""/>
        <dsp:cNvSpPr/>
      </dsp:nvSpPr>
      <dsp:spPr>
        <a:xfrm>
          <a:off x="0" y="3983325"/>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A06CCAE-E9DD-45B6-8E46-1625098FFF33}">
      <dsp:nvSpPr>
        <dsp:cNvPr id="0" name=""/>
        <dsp:cNvSpPr/>
      </dsp:nvSpPr>
      <dsp:spPr>
        <a:xfrm>
          <a:off x="278130" y="3835725"/>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Contar con una planta docente suficiente y calificada. </a:t>
          </a:r>
        </a:p>
      </dsp:txBody>
      <dsp:txXfrm>
        <a:off x="292540" y="3850135"/>
        <a:ext cx="3865000" cy="266380"/>
      </dsp:txXfrm>
    </dsp:sp>
    <dsp:sp modelId="{6419E28F-548F-43BC-96B0-702977A8247E}">
      <dsp:nvSpPr>
        <dsp:cNvPr id="0" name=""/>
        <dsp:cNvSpPr/>
      </dsp:nvSpPr>
      <dsp:spPr>
        <a:xfrm>
          <a:off x="0" y="4436925"/>
          <a:ext cx="55626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D9D9321-134D-4F03-838F-D30B50EECC9F}">
      <dsp:nvSpPr>
        <dsp:cNvPr id="0" name=""/>
        <dsp:cNvSpPr/>
      </dsp:nvSpPr>
      <dsp:spPr>
        <a:xfrm>
          <a:off x="278130" y="4289325"/>
          <a:ext cx="389382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7177" tIns="0" rIns="147177" bIns="0" numCol="1" spcCol="1270" anchor="ctr" anchorCtr="0">
          <a:noAutofit/>
        </a:bodyPr>
        <a:lstStyle/>
        <a:p>
          <a:pPr lvl="0" algn="l"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Programas de capacitación y actualización docente.</a:t>
          </a:r>
        </a:p>
      </dsp:txBody>
      <dsp:txXfrm>
        <a:off x="292540" y="4303735"/>
        <a:ext cx="3865000"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BBF57-BBB7-4A87-9763-1918E937A45E}">
      <dsp:nvSpPr>
        <dsp:cNvPr id="0" name=""/>
        <dsp:cNvSpPr/>
      </dsp:nvSpPr>
      <dsp:spPr>
        <a:xfrm>
          <a:off x="2828725" y="1608645"/>
          <a:ext cx="1899262" cy="1899262"/>
        </a:xfrm>
        <a:prstGeom prst="gear9">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AR" sz="1000" b="1" kern="1200">
              <a:latin typeface="Arial" panose="020B0604020202020204" pitchFamily="34" charset="0"/>
              <a:cs typeface="Arial" panose="020B0604020202020204" pitchFamily="34" charset="0"/>
            </a:rPr>
            <a:t>Enfermedades del sistema circulatorio. </a:t>
          </a:r>
        </a:p>
      </dsp:txBody>
      <dsp:txXfrm>
        <a:off x="3210561" y="2053538"/>
        <a:ext cx="1135590" cy="976260"/>
      </dsp:txXfrm>
    </dsp:sp>
    <dsp:sp modelId="{EB5673C4-A644-4308-9388-760D5F186F18}">
      <dsp:nvSpPr>
        <dsp:cNvPr id="0" name=""/>
        <dsp:cNvSpPr/>
      </dsp:nvSpPr>
      <dsp:spPr>
        <a:xfrm>
          <a:off x="875237" y="1214751"/>
          <a:ext cx="1980924" cy="1550944"/>
        </a:xfrm>
        <a:prstGeom prst="gear6">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AR" sz="1000" b="1" kern="1200">
              <a:latin typeface="Arial" panose="020B0604020202020204" pitchFamily="34" charset="0"/>
              <a:cs typeface="Arial" panose="020B0604020202020204" pitchFamily="34" charset="0"/>
            </a:rPr>
            <a:t>Enfermedades endócrinas, nutricionales y metabólicas. </a:t>
          </a:r>
        </a:p>
      </dsp:txBody>
      <dsp:txXfrm>
        <a:off x="1328194" y="1607566"/>
        <a:ext cx="1075010" cy="765314"/>
      </dsp:txXfrm>
    </dsp:sp>
    <dsp:sp modelId="{0EE5BE83-139C-4E5F-AE12-499B937D7463}">
      <dsp:nvSpPr>
        <dsp:cNvPr id="0" name=""/>
        <dsp:cNvSpPr/>
      </dsp:nvSpPr>
      <dsp:spPr>
        <a:xfrm rot="20700000">
          <a:off x="2183610" y="108407"/>
          <a:ext cx="1464498" cy="1550129"/>
        </a:xfrm>
        <a:prstGeom prst="gear6">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AR" sz="1000" b="1" kern="1200">
              <a:latin typeface="Arial" panose="020B0604020202020204" pitchFamily="34" charset="0"/>
              <a:cs typeface="Arial" panose="020B0604020202020204" pitchFamily="34" charset="0"/>
            </a:rPr>
            <a:t>Tumores (neoplasias).</a:t>
          </a:r>
        </a:p>
      </dsp:txBody>
      <dsp:txXfrm rot="-20700000">
        <a:off x="2499739" y="453475"/>
        <a:ext cx="832241" cy="859993"/>
      </dsp:txXfrm>
    </dsp:sp>
    <dsp:sp modelId="{55285846-73D6-46D7-9EEC-E79CB2512264}">
      <dsp:nvSpPr>
        <dsp:cNvPr id="0" name=""/>
        <dsp:cNvSpPr/>
      </dsp:nvSpPr>
      <dsp:spPr>
        <a:xfrm>
          <a:off x="2610166" y="1326552"/>
          <a:ext cx="2431056" cy="2431056"/>
        </a:xfrm>
        <a:prstGeom prst="circularArrow">
          <a:avLst>
            <a:gd name="adj1" fmla="val 4688"/>
            <a:gd name="adj2" fmla="val 299029"/>
            <a:gd name="adj3" fmla="val 2495562"/>
            <a:gd name="adj4" fmla="val 15906397"/>
            <a:gd name="adj5" fmla="val 5469"/>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E795F09-6365-4651-8FCD-1731C7CA4968}">
      <dsp:nvSpPr>
        <dsp:cNvPr id="0" name=""/>
        <dsp:cNvSpPr/>
      </dsp:nvSpPr>
      <dsp:spPr>
        <a:xfrm>
          <a:off x="736797" y="1018653"/>
          <a:ext cx="1766314" cy="1766314"/>
        </a:xfrm>
        <a:prstGeom prst="leftCircularArrow">
          <a:avLst>
            <a:gd name="adj1" fmla="val 6452"/>
            <a:gd name="adj2" fmla="val 429999"/>
            <a:gd name="adj3" fmla="val 10489124"/>
            <a:gd name="adj4" fmla="val 14837806"/>
            <a:gd name="adj5" fmla="val 7527"/>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E9E3F2C-CDD7-4A5D-A099-BF2B933B0F1C}">
      <dsp:nvSpPr>
        <dsp:cNvPr id="0" name=""/>
        <dsp:cNvSpPr/>
      </dsp:nvSpPr>
      <dsp:spPr>
        <a:xfrm>
          <a:off x="1926123" y="-86474"/>
          <a:ext cx="1904442" cy="1904442"/>
        </a:xfrm>
        <a:prstGeom prst="circularArrow">
          <a:avLst>
            <a:gd name="adj1" fmla="val 5984"/>
            <a:gd name="adj2" fmla="val 394124"/>
            <a:gd name="adj3" fmla="val 13313824"/>
            <a:gd name="adj4" fmla="val 10508221"/>
            <a:gd name="adj5" fmla="val 6981"/>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21686-CDC0-497D-9487-94CF2A2C5A72}">
      <dsp:nvSpPr>
        <dsp:cNvPr id="0" name=""/>
        <dsp:cNvSpPr/>
      </dsp:nvSpPr>
      <dsp:spPr>
        <a:xfrm>
          <a:off x="1910705" y="1745"/>
          <a:ext cx="1987875" cy="899084"/>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Arial" panose="020B0604020202020204" pitchFamily="34" charset="0"/>
            <a:buChar char="-"/>
          </a:pPr>
          <a:r>
            <a:rPr lang="es-MX" sz="1100" kern="1200">
              <a:latin typeface="Arial" panose="020B0604020202020204" pitchFamily="34" charset="0"/>
              <a:cs typeface="Arial" panose="020B0604020202020204" pitchFamily="34" charset="0"/>
            </a:rPr>
            <a:t>Vocación industrial, comercial, turística, cultural y de servicios.</a:t>
          </a:r>
          <a:endParaRPr lang="es-AR" sz="1100" kern="1200">
            <a:latin typeface="Arial" panose="020B0604020202020204" pitchFamily="34" charset="0"/>
            <a:cs typeface="Arial" panose="020B0604020202020204" pitchFamily="34" charset="0"/>
          </a:endParaRPr>
        </a:p>
      </dsp:txBody>
      <dsp:txXfrm>
        <a:off x="1910705" y="1745"/>
        <a:ext cx="1987875" cy="899084"/>
      </dsp:txXfrm>
    </dsp:sp>
    <dsp:sp modelId="{C9FC7BED-248C-4008-AD6F-D4C4B2CA484F}">
      <dsp:nvSpPr>
        <dsp:cNvPr id="0" name=""/>
        <dsp:cNvSpPr/>
      </dsp:nvSpPr>
      <dsp:spPr>
        <a:xfrm>
          <a:off x="931602" y="1745"/>
          <a:ext cx="890093" cy="89908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7085150-3B6D-4E1B-966F-E1DC9E5A6F5F}">
      <dsp:nvSpPr>
        <dsp:cNvPr id="0" name=""/>
        <dsp:cNvSpPr/>
      </dsp:nvSpPr>
      <dsp:spPr>
        <a:xfrm>
          <a:off x="931602" y="1049178"/>
          <a:ext cx="1987875" cy="899084"/>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Arial" panose="020B0604020202020204" pitchFamily="34" charset="0"/>
            <a:buChar char="-"/>
          </a:pPr>
          <a:r>
            <a:rPr lang="es-MX" sz="1100" kern="1200">
              <a:latin typeface="Arial" panose="020B0604020202020204" pitchFamily="34" charset="0"/>
              <a:cs typeface="Arial" panose="020B0604020202020204" pitchFamily="34" charset="0"/>
            </a:rPr>
            <a:t>CONECTIVIDAD.</a:t>
          </a:r>
          <a:endParaRPr lang="es-AR" sz="1100" kern="1200">
            <a:latin typeface="Arial" panose="020B0604020202020204" pitchFamily="34" charset="0"/>
            <a:cs typeface="Arial" panose="020B0604020202020204" pitchFamily="34" charset="0"/>
          </a:endParaRPr>
        </a:p>
      </dsp:txBody>
      <dsp:txXfrm>
        <a:off x="931602" y="1049178"/>
        <a:ext cx="1987875" cy="899084"/>
      </dsp:txXfrm>
    </dsp:sp>
    <dsp:sp modelId="{FA737733-6138-48F1-845A-8108D26DC6CC}">
      <dsp:nvSpPr>
        <dsp:cNvPr id="0" name=""/>
        <dsp:cNvSpPr/>
      </dsp:nvSpPr>
      <dsp:spPr>
        <a:xfrm>
          <a:off x="3008487" y="1049178"/>
          <a:ext cx="890093" cy="89908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1000" r="-31000"/>
          </a:stretch>
        </a:blip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A17A4CE-F5ED-4928-91EC-027C40D8C8E5}">
      <dsp:nvSpPr>
        <dsp:cNvPr id="0" name=""/>
        <dsp:cNvSpPr/>
      </dsp:nvSpPr>
      <dsp:spPr>
        <a:xfrm>
          <a:off x="1910705" y="2096611"/>
          <a:ext cx="1987875" cy="899084"/>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Modernización, ampliar y dar mantenimiento a la infraestructura.</a:t>
          </a:r>
          <a:endParaRPr lang="es-AR" sz="1100" kern="1200">
            <a:latin typeface="Arial" panose="020B0604020202020204" pitchFamily="34" charset="0"/>
            <a:cs typeface="Arial" panose="020B0604020202020204" pitchFamily="34" charset="0"/>
          </a:endParaRPr>
        </a:p>
      </dsp:txBody>
      <dsp:txXfrm>
        <a:off x="1910705" y="2096611"/>
        <a:ext cx="1987875" cy="899084"/>
      </dsp:txXfrm>
    </dsp:sp>
    <dsp:sp modelId="{67AFE11A-1DC9-49B9-B6F7-59B71A391352}">
      <dsp:nvSpPr>
        <dsp:cNvPr id="0" name=""/>
        <dsp:cNvSpPr/>
      </dsp:nvSpPr>
      <dsp:spPr>
        <a:xfrm>
          <a:off x="931602" y="2096611"/>
          <a:ext cx="890093" cy="899084"/>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883862C-2FA2-461C-946A-235FE2D8752F}">
      <dsp:nvSpPr>
        <dsp:cNvPr id="0" name=""/>
        <dsp:cNvSpPr/>
      </dsp:nvSpPr>
      <dsp:spPr>
        <a:xfrm>
          <a:off x="931602" y="3144044"/>
          <a:ext cx="1987875" cy="899084"/>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Reconstrucción de carreteras.</a:t>
          </a:r>
          <a:endParaRPr lang="es-AR" sz="1100" kern="1200">
            <a:latin typeface="Arial" panose="020B0604020202020204" pitchFamily="34" charset="0"/>
            <a:cs typeface="Arial" panose="020B0604020202020204" pitchFamily="34" charset="0"/>
          </a:endParaRPr>
        </a:p>
      </dsp:txBody>
      <dsp:txXfrm>
        <a:off x="931602" y="3144044"/>
        <a:ext cx="1987875" cy="899084"/>
      </dsp:txXfrm>
    </dsp:sp>
    <dsp:sp modelId="{C3E41365-EF80-4CEC-826F-59F6D8BD885C}">
      <dsp:nvSpPr>
        <dsp:cNvPr id="0" name=""/>
        <dsp:cNvSpPr/>
      </dsp:nvSpPr>
      <dsp:spPr>
        <a:xfrm>
          <a:off x="3008487" y="3144044"/>
          <a:ext cx="890093" cy="89908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6000" b="-16000"/>
          </a:stretch>
        </a:blipFill>
        <a:ln w="19050" cap="flat" cmpd="sng" algn="ctr">
          <a:solidFill>
            <a:schemeClr val="accent3">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F4558-5842-4D17-AC94-FCAD3FAE083B}">
      <dsp:nvSpPr>
        <dsp:cNvPr id="0" name=""/>
        <dsp:cNvSpPr/>
      </dsp:nvSpPr>
      <dsp:spPr>
        <a:xfrm>
          <a:off x="147441" y="1018046"/>
          <a:ext cx="2996418" cy="2996418"/>
        </a:xfrm>
        <a:prstGeom prst="ellipse">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E432EB9-A021-4305-A20A-2829C3CDCB58}">
      <dsp:nvSpPr>
        <dsp:cNvPr id="0" name=""/>
        <dsp:cNvSpPr/>
      </dsp:nvSpPr>
      <dsp:spPr>
        <a:xfrm>
          <a:off x="480294" y="1350898"/>
          <a:ext cx="2330714" cy="2330714"/>
        </a:xfrm>
        <a:prstGeom prst="ellipse">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0E4A3EA-3741-4705-86BC-D6F65417D4E5}">
      <dsp:nvSpPr>
        <dsp:cNvPr id="0" name=""/>
        <dsp:cNvSpPr/>
      </dsp:nvSpPr>
      <dsp:spPr>
        <a:xfrm>
          <a:off x="813146" y="1683750"/>
          <a:ext cx="1665010" cy="1665010"/>
        </a:xfrm>
        <a:prstGeom prst="ellipse">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3467A24E-BCCC-4294-93D9-20548726DB95}">
      <dsp:nvSpPr>
        <dsp:cNvPr id="0" name=""/>
        <dsp:cNvSpPr/>
      </dsp:nvSpPr>
      <dsp:spPr>
        <a:xfrm>
          <a:off x="1146248" y="2016852"/>
          <a:ext cx="998806" cy="998806"/>
        </a:xfrm>
        <a:prstGeom prst="ellipse">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BF58B6C-71AB-40E8-A0CF-C05788969327}">
      <dsp:nvSpPr>
        <dsp:cNvPr id="0" name=""/>
        <dsp:cNvSpPr/>
      </dsp:nvSpPr>
      <dsp:spPr>
        <a:xfrm>
          <a:off x="1479100" y="2349705"/>
          <a:ext cx="333101" cy="33310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1690C653-4E4C-4F15-A0DF-2478207CAFCD}">
      <dsp:nvSpPr>
        <dsp:cNvPr id="0" name=""/>
        <dsp:cNvSpPr/>
      </dsp:nvSpPr>
      <dsp:spPr>
        <a:xfrm>
          <a:off x="3663414" y="91625"/>
          <a:ext cx="1498209" cy="1115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just"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Problemas operativos asociados a la cloración para purificar el agua, potabilizarla, conducirla y tratarla, lo que implica gasto de insumos, pago de electricidad, sueldos y derechos de agua. </a:t>
          </a:r>
        </a:p>
      </dsp:txBody>
      <dsp:txXfrm>
        <a:off x="3663414" y="91625"/>
        <a:ext cx="1498209" cy="1115720"/>
      </dsp:txXfrm>
    </dsp:sp>
    <dsp:sp modelId="{5E8FBDA3-CD24-4D86-B0A8-1653F86A8E7E}">
      <dsp:nvSpPr>
        <dsp:cNvPr id="0" name=""/>
        <dsp:cNvSpPr/>
      </dsp:nvSpPr>
      <dsp:spPr>
        <a:xfrm>
          <a:off x="3268711" y="538619"/>
          <a:ext cx="374552"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B556955E-6982-42BE-A284-FB71B22ECC71}">
      <dsp:nvSpPr>
        <dsp:cNvPr id="0" name=""/>
        <dsp:cNvSpPr/>
      </dsp:nvSpPr>
      <dsp:spPr>
        <a:xfrm rot="5400000">
          <a:off x="1467114" y="717156"/>
          <a:ext cx="1977636" cy="1620563"/>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C902C78-8521-410F-B139-F2F84BC5E807}">
      <dsp:nvSpPr>
        <dsp:cNvPr id="0" name=""/>
        <dsp:cNvSpPr/>
      </dsp:nvSpPr>
      <dsp:spPr>
        <a:xfrm>
          <a:off x="3693663" y="1065282"/>
          <a:ext cx="1498209" cy="528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just"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Sustitución de infraestructura. </a:t>
          </a:r>
        </a:p>
      </dsp:txBody>
      <dsp:txXfrm>
        <a:off x="3693663" y="1065282"/>
        <a:ext cx="1498209" cy="528967"/>
      </dsp:txXfrm>
    </dsp:sp>
    <dsp:sp modelId="{3056F2C0-A2DE-4E4B-A583-031663631CF8}">
      <dsp:nvSpPr>
        <dsp:cNvPr id="0" name=""/>
        <dsp:cNvSpPr/>
      </dsp:nvSpPr>
      <dsp:spPr>
        <a:xfrm>
          <a:off x="3268711" y="1097951"/>
          <a:ext cx="374552"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4B208F-3D78-4264-90F7-8D9A5386BD82}">
      <dsp:nvSpPr>
        <dsp:cNvPr id="0" name=""/>
        <dsp:cNvSpPr/>
      </dsp:nvSpPr>
      <dsp:spPr>
        <a:xfrm rot="5400000">
          <a:off x="1757717" y="1233988"/>
          <a:ext cx="1646631" cy="1373358"/>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37E5A7-7EAE-4F96-A6ED-085E8753732D}">
      <dsp:nvSpPr>
        <dsp:cNvPr id="0" name=""/>
        <dsp:cNvSpPr/>
      </dsp:nvSpPr>
      <dsp:spPr>
        <a:xfrm>
          <a:off x="3693663" y="1493588"/>
          <a:ext cx="1498209" cy="528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just"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Pérdida de agua.</a:t>
          </a:r>
        </a:p>
      </dsp:txBody>
      <dsp:txXfrm>
        <a:off x="3693663" y="1493588"/>
        <a:ext cx="1498209" cy="528967"/>
      </dsp:txXfrm>
    </dsp:sp>
    <dsp:sp modelId="{789DA3E3-BF37-43BD-979E-5675D3E17E0A}">
      <dsp:nvSpPr>
        <dsp:cNvPr id="0" name=""/>
        <dsp:cNvSpPr/>
      </dsp:nvSpPr>
      <dsp:spPr>
        <a:xfrm>
          <a:off x="3268711" y="1657282"/>
          <a:ext cx="374552"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F8E120E8-1126-4474-8CDE-D470D64C3781}">
      <dsp:nvSpPr>
        <dsp:cNvPr id="0" name=""/>
        <dsp:cNvSpPr/>
      </dsp:nvSpPr>
      <dsp:spPr>
        <a:xfrm rot="5400000">
          <a:off x="2042676" y="1729696"/>
          <a:ext cx="1298448" cy="1153621"/>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C4A17778-A3F3-43CA-A663-6039B31D962C}">
      <dsp:nvSpPr>
        <dsp:cNvPr id="0" name=""/>
        <dsp:cNvSpPr/>
      </dsp:nvSpPr>
      <dsp:spPr>
        <a:xfrm>
          <a:off x="3663414" y="2061093"/>
          <a:ext cx="1498209" cy="528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just"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Creciente demanda de agua por el crecimiento poblacional. </a:t>
          </a:r>
        </a:p>
      </dsp:txBody>
      <dsp:txXfrm>
        <a:off x="3663414" y="2061093"/>
        <a:ext cx="1498209" cy="528967"/>
      </dsp:txXfrm>
    </dsp:sp>
    <dsp:sp modelId="{8BEF9E34-F9B3-4DE5-AE57-F7933A33957F}">
      <dsp:nvSpPr>
        <dsp:cNvPr id="0" name=""/>
        <dsp:cNvSpPr/>
      </dsp:nvSpPr>
      <dsp:spPr>
        <a:xfrm>
          <a:off x="3268711" y="2204628"/>
          <a:ext cx="374552"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421A5B1C-E542-4B82-B5FF-771C2686013A}">
      <dsp:nvSpPr>
        <dsp:cNvPr id="0" name=""/>
        <dsp:cNvSpPr/>
      </dsp:nvSpPr>
      <dsp:spPr>
        <a:xfrm rot="5400000">
          <a:off x="2326337" y="2253070"/>
          <a:ext cx="990815" cy="893931"/>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C9F7EAE3-7156-4BD4-BDD5-E2926E4E55AE}">
      <dsp:nvSpPr>
        <dsp:cNvPr id="0" name=""/>
        <dsp:cNvSpPr/>
      </dsp:nvSpPr>
      <dsp:spPr>
        <a:xfrm>
          <a:off x="3654889" y="2773803"/>
          <a:ext cx="1498209" cy="528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just" defTabSz="400050">
            <a:lnSpc>
              <a:spcPct val="90000"/>
            </a:lnSpc>
            <a:spcBef>
              <a:spcPct val="0"/>
            </a:spcBef>
            <a:spcAft>
              <a:spcPct val="35000"/>
            </a:spcAft>
          </a:pPr>
          <a:r>
            <a:rPr lang="es-AR" sz="900" kern="1200">
              <a:latin typeface="Arial" panose="020B0604020202020204" pitchFamily="34" charset="0"/>
              <a:cs typeface="Arial" panose="020B0604020202020204" pitchFamily="34" charset="0"/>
            </a:rPr>
            <a:t>Fugas y operaciones de mantenimiento del sistema que abastece agua potable a la ZM. </a:t>
          </a:r>
        </a:p>
      </dsp:txBody>
      <dsp:txXfrm>
        <a:off x="3654889" y="2773803"/>
        <a:ext cx="1498209" cy="528967"/>
      </dsp:txXfrm>
    </dsp:sp>
    <dsp:sp modelId="{4A88451C-3346-49D2-880C-AD8F0CFCF1E8}">
      <dsp:nvSpPr>
        <dsp:cNvPr id="0" name=""/>
        <dsp:cNvSpPr/>
      </dsp:nvSpPr>
      <dsp:spPr>
        <a:xfrm>
          <a:off x="3268711" y="2735993"/>
          <a:ext cx="374552"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26D2E08-C4DD-489F-83DA-18F8B4647DE8}">
      <dsp:nvSpPr>
        <dsp:cNvPr id="0" name=""/>
        <dsp:cNvSpPr/>
      </dsp:nvSpPr>
      <dsp:spPr>
        <a:xfrm rot="5400000">
          <a:off x="2594517" y="2760963"/>
          <a:ext cx="699164" cy="649224"/>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804A4-95B8-40C8-9FBA-37ECA3B211BD}">
      <dsp:nvSpPr>
        <dsp:cNvPr id="0" name=""/>
        <dsp:cNvSpPr/>
      </dsp:nvSpPr>
      <dsp:spPr>
        <a:xfrm>
          <a:off x="838910" y="95831"/>
          <a:ext cx="1886635" cy="5895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9338" tIns="45720" rIns="45720" bIns="45720" numCol="1" spcCol="1270" anchor="ctr" anchorCtr="0">
          <a:noAutofit/>
        </a:bodyPr>
        <a:lstStyle/>
        <a:p>
          <a:pPr lvl="0" algn="l" defTabSz="533400">
            <a:lnSpc>
              <a:spcPct val="90000"/>
            </a:lnSpc>
            <a:spcBef>
              <a:spcPct val="0"/>
            </a:spcBef>
            <a:spcAft>
              <a:spcPct val="35000"/>
            </a:spcAft>
          </a:pPr>
          <a:r>
            <a:rPr lang="es-AR" sz="1200" kern="1200"/>
            <a:t>Policía eficaz, preparada y confiable.</a:t>
          </a:r>
        </a:p>
      </dsp:txBody>
      <dsp:txXfrm>
        <a:off x="838910" y="95831"/>
        <a:ext cx="1886635" cy="589573"/>
      </dsp:txXfrm>
    </dsp:sp>
    <dsp:sp modelId="{2218E932-1686-4FB0-8308-C062BB398CB4}">
      <dsp:nvSpPr>
        <dsp:cNvPr id="0" name=""/>
        <dsp:cNvSpPr/>
      </dsp:nvSpPr>
      <dsp:spPr>
        <a:xfrm>
          <a:off x="760301" y="10671"/>
          <a:ext cx="412701" cy="61905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937DA-E96B-4CBD-A783-AB051EBD804D}">
      <dsp:nvSpPr>
        <dsp:cNvPr id="0" name=""/>
        <dsp:cNvSpPr/>
      </dsp:nvSpPr>
      <dsp:spPr>
        <a:xfrm>
          <a:off x="2881666" y="95831"/>
          <a:ext cx="1886635" cy="5895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9338" tIns="45720" rIns="45720" bIns="45720" numCol="1" spcCol="1270" anchor="ctr" anchorCtr="0">
          <a:noAutofit/>
        </a:bodyPr>
        <a:lstStyle/>
        <a:p>
          <a:pPr lvl="0" algn="l" defTabSz="533400">
            <a:lnSpc>
              <a:spcPct val="90000"/>
            </a:lnSpc>
            <a:spcBef>
              <a:spcPct val="0"/>
            </a:spcBef>
            <a:spcAft>
              <a:spcPct val="35000"/>
            </a:spcAft>
          </a:pPr>
          <a:r>
            <a:rPr lang="es-AR" sz="1200" kern="1200"/>
            <a:t>Medidas anticorrrupción.</a:t>
          </a:r>
        </a:p>
      </dsp:txBody>
      <dsp:txXfrm>
        <a:off x="2881666" y="95831"/>
        <a:ext cx="1886635" cy="589573"/>
      </dsp:txXfrm>
    </dsp:sp>
    <dsp:sp modelId="{9FD1A162-0217-4A28-A55E-32930554FC62}">
      <dsp:nvSpPr>
        <dsp:cNvPr id="0" name=""/>
        <dsp:cNvSpPr/>
      </dsp:nvSpPr>
      <dsp:spPr>
        <a:xfrm>
          <a:off x="2803056" y="10671"/>
          <a:ext cx="412701" cy="61905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7000" r="-7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11BF36-6398-4D27-9724-A0150E3D27CE}">
      <dsp:nvSpPr>
        <dsp:cNvPr id="0" name=""/>
        <dsp:cNvSpPr/>
      </dsp:nvSpPr>
      <dsp:spPr>
        <a:xfrm>
          <a:off x="838910" y="838039"/>
          <a:ext cx="1886635" cy="5895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9338" tIns="45720" rIns="45720" bIns="45720" numCol="1" spcCol="1270" anchor="ctr" anchorCtr="0">
          <a:noAutofit/>
        </a:bodyPr>
        <a:lstStyle/>
        <a:p>
          <a:pPr lvl="0" algn="l" defTabSz="533400">
            <a:lnSpc>
              <a:spcPct val="90000"/>
            </a:lnSpc>
            <a:spcBef>
              <a:spcPct val="0"/>
            </a:spcBef>
            <a:spcAft>
              <a:spcPct val="35000"/>
            </a:spcAft>
          </a:pPr>
          <a:r>
            <a:rPr lang="es-AR" sz="1200" kern="1200"/>
            <a:t>Esquemas de rendición de cuentas.</a:t>
          </a:r>
        </a:p>
      </dsp:txBody>
      <dsp:txXfrm>
        <a:off x="838910" y="838039"/>
        <a:ext cx="1886635" cy="589573"/>
      </dsp:txXfrm>
    </dsp:sp>
    <dsp:sp modelId="{0B169555-0317-49E2-AEB4-1C199C44AF48}">
      <dsp:nvSpPr>
        <dsp:cNvPr id="0" name=""/>
        <dsp:cNvSpPr/>
      </dsp:nvSpPr>
      <dsp:spPr>
        <a:xfrm>
          <a:off x="760301" y="752878"/>
          <a:ext cx="412701" cy="61905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2000" r="-6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554C06-32E8-4A92-8BAB-752AB9EF160C}">
      <dsp:nvSpPr>
        <dsp:cNvPr id="0" name=""/>
        <dsp:cNvSpPr/>
      </dsp:nvSpPr>
      <dsp:spPr>
        <a:xfrm>
          <a:off x="2881666" y="838039"/>
          <a:ext cx="1886635" cy="5895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9338" tIns="45720" rIns="45720" bIns="45720" numCol="1" spcCol="1270" anchor="ctr" anchorCtr="0">
          <a:noAutofit/>
        </a:bodyPr>
        <a:lstStyle/>
        <a:p>
          <a:pPr lvl="0" algn="l" defTabSz="533400">
            <a:lnSpc>
              <a:spcPct val="90000"/>
            </a:lnSpc>
            <a:spcBef>
              <a:spcPct val="0"/>
            </a:spcBef>
            <a:spcAft>
              <a:spcPct val="35000"/>
            </a:spcAft>
          </a:pPr>
          <a:r>
            <a:rPr lang="es-AR" sz="1200" kern="1200"/>
            <a:t>Consolidación del sistema penitenciario.</a:t>
          </a:r>
        </a:p>
      </dsp:txBody>
      <dsp:txXfrm>
        <a:off x="2881666" y="838039"/>
        <a:ext cx="1886635" cy="589573"/>
      </dsp:txXfrm>
    </dsp:sp>
    <dsp:sp modelId="{924923F2-01F7-4CE6-B0B3-E6BD18A0C295}">
      <dsp:nvSpPr>
        <dsp:cNvPr id="0" name=""/>
        <dsp:cNvSpPr/>
      </dsp:nvSpPr>
      <dsp:spPr>
        <a:xfrm>
          <a:off x="2803056" y="752878"/>
          <a:ext cx="412701" cy="61905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7000" r="-7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B30DD9-8943-4D7A-954F-A21D8D7C8DD2}">
      <dsp:nvSpPr>
        <dsp:cNvPr id="0" name=""/>
        <dsp:cNvSpPr/>
      </dsp:nvSpPr>
      <dsp:spPr>
        <a:xfrm>
          <a:off x="1860288" y="1580247"/>
          <a:ext cx="1886635" cy="58957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9338" tIns="45720" rIns="45720" bIns="45720" numCol="1" spcCol="1270" anchor="ctr" anchorCtr="0">
          <a:noAutofit/>
        </a:bodyPr>
        <a:lstStyle/>
        <a:p>
          <a:pPr lvl="0" algn="l" defTabSz="533400">
            <a:lnSpc>
              <a:spcPct val="90000"/>
            </a:lnSpc>
            <a:spcBef>
              <a:spcPct val="0"/>
            </a:spcBef>
            <a:spcAft>
              <a:spcPct val="35000"/>
            </a:spcAft>
          </a:pPr>
          <a:r>
            <a:rPr lang="es-AR" sz="1200" kern="1200"/>
            <a:t>Atención a delitos. </a:t>
          </a:r>
        </a:p>
      </dsp:txBody>
      <dsp:txXfrm>
        <a:off x="1860288" y="1580247"/>
        <a:ext cx="1886635" cy="589573"/>
      </dsp:txXfrm>
    </dsp:sp>
    <dsp:sp modelId="{7327B7A8-754A-41C9-A73E-DF9A66800F37}">
      <dsp:nvSpPr>
        <dsp:cNvPr id="0" name=""/>
        <dsp:cNvSpPr/>
      </dsp:nvSpPr>
      <dsp:spPr>
        <a:xfrm>
          <a:off x="1781678" y="1495086"/>
          <a:ext cx="412701" cy="619052"/>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83000" r="-8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Acu18</b:Tag>
    <b:SourceType>DocumentFromInternetSite</b:SourceType>
    <b:Guid>{658C46BC-C02E-4F86-A0F0-90218EC7FBF3}</b:Guid>
    <b:Title>Acuerdo por el que se emite el Manual de Organización y Operación del Sistema Nacional de Protección Civil.</b:Title>
    <b:Year>2018</b:Year>
    <b:LCID>es-MX</b:LCID>
    <b:Month>07</b:Month>
    <b:Day>13</b:Day>
    <b:URL>https://www.dof.gob.mx/nota_detalle.php?codigo=5531489&amp;fecha=13/07/2018</b:URL>
    <b:YearAccessed>2021</b:YearAccessed>
    <b:MonthAccessed>09 </b:MonthAccessed>
    <b:Author>
      <b:Author>
        <b:NameList>
          <b:Person>
            <b:Last>Federación</b:Last>
            <b:First>Diario</b:First>
            <b:Middle>Oficial de la</b:Middle>
          </b:Person>
        </b:NameList>
      </b:Author>
    </b:Author>
    <b:RefOrder>1</b:RefOrder>
  </b:Source>
  <b:Source>
    <b:Tag>Gob15</b:Tag>
    <b:SourceType>DocumentFromInternetSite</b:SourceType>
    <b:Guid>{C9CD3DCF-B614-41A8-8CE7-FCD33AE4CBAB}</b:Guid>
    <b:Author>
      <b:Author>
        <b:NameList>
          <b:Person>
            <b:Last>México.</b:Last>
            <b:First>Gobierno</b:First>
            <b:Middle>delEstado de</b:Middle>
          </b:Person>
        </b:NameList>
      </b:Author>
    </b:Author>
    <b:Title>Atlas de Riesgos del Estado de México.</b:Title>
    <b:Year>2015</b:Year>
    <b:Month>Febrero</b:Month>
    <b:URL>http://gaceta.diputados.gob.mx/Gaceta/62/2015/feb/Atlas-20150224.pdf</b:URL>
    <b:RefOrder>2</b:RefOrder>
  </b:Source>
  <b:Source>
    <b:Tag>EST</b:Tag>
    <b:SourceType>DocumentFromInternetSite</b:SourceType>
    <b:Guid>{F5AAA026-7EEC-43B3-9BB5-52CC51DE6A2B}</b:Guid>
    <b:Author>
      <b:Author>
        <b:NameList>
          <b:Person>
            <b:Last>MÉXICO.</b:Last>
            <b:First>ESTADO</b:First>
            <b:Middle>DE</b:Middle>
          </b:Person>
        </b:NameList>
      </b:Author>
    </b:Author>
    <b:Title>TRANSAPERENCIA FISCAL.</b:Title>
    <b:InternetSiteTitle>"DEUDA PÚBLICA 2020 ESTADO DE MÉXICO".</b:InternetSiteTitle>
    <b:URL>https://transparenciafiscal.edomex.gob.mx/sites/transparenciafiscal.edomex.gob.mx/files/files/pdf/rendicion-cuentas/cuenta-publica-2020/TomoI/8-Deuda-Publica.pdf</b:URL>
    <b:RefOrder>3</b:RefOrder>
  </b:Source>
  <b:Source>
    <b:Tag>INE</b:Tag>
    <b:SourceType>DocumentFromInternetSite</b:SourceType>
    <b:Guid>{E06FC2B1-87FF-4784-9412-CBC4A15DB9A8}</b:Guid>
    <b:Author>
      <b:Author>
        <b:NameList>
          <b:Person>
            <b:Last>INESLE.</b:Last>
          </b:Person>
        </b:NameList>
      </b:Author>
    </b:Author>
    <b:Title>"CUENTA PÚBLICA DEL ESTADO DE MÉXICO 2019".</b:Title>
    <b:URL>http://www.inesle.gob.mx/Investigaciones/2020/13.20%20Cuenta%20Publica%20del%20Gobierno%20del%20Estado%20de%20Mexico%202019.pdf</b:URL>
    <b:RefOrder>4</b:RefOrder>
  </b:Source>
  <b:Source>
    <b:Tag>PLA</b:Tag>
    <b:SourceType>DocumentFromInternetSite</b:SourceType>
    <b:Guid>{4B5844AB-A8DC-4F5C-951D-52495BD496C1}</b:Guid>
    <b:Author>
      <b:Author>
        <b:NameList>
          <b:Person>
            <b:Last>UAEMEX.</b:Last>
            <b:First>PLANEACIÓN</b:First>
          </b:Person>
        </b:NameList>
      </b:Author>
    </b:Author>
    <b:Title>PLAN DE DESARROLLO DEL ESTADO DE MÉXICO 2017-2023.</b:Title>
    <b:URL>http://planeacion.uaemex.mx/InfBasCon/GEM/2017-2023/Plan_de_Desarrollo_2017-2023_.pdf</b:URL>
    <b:RefOrder>5</b:RefOrder>
  </b:Source>
  <b:Source>
    <b:Tag>TRA</b:Tag>
    <b:SourceType>DocumentFromInternetSite</b:SourceType>
    <b:Guid>{A8F95395-729C-4984-A6BC-E5276A87976A}</b:Guid>
    <b:Author>
      <b:Author>
        <b:NameList>
          <b:Person>
            <b:Last>FISCAL.</b:Last>
            <b:First>TRANSPARENCIA</b:First>
          </b:Person>
        </b:NameList>
      </b:Author>
    </b:Author>
    <b:Title>CUARTO INFORME DE GOBIERNO.</b:Title>
    <b:URL>https://transparenciafiscal.edomex.gob.mx/sites/transparenciafiscal.edomex.gob.mx/files/files/pdf/rendicion-cuentas/informe-gobierno/4IR-ANEXO-ESTADISTICO-TOMOI.pdf</b:URL>
    <b:RefOrder>6</b:RefOrder>
  </b:Source>
</b:Sources>
</file>

<file path=customXml/itemProps1.xml><?xml version="1.0" encoding="utf-8"?>
<ds:datastoreItem xmlns:ds="http://schemas.openxmlformats.org/officeDocument/2006/customXml" ds:itemID="{E29808C6-D51C-42CA-B2EF-BE46447E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9098</Words>
  <Characters>50040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“Cuenta Pública del Estado de México: 2020”.</vt:lpstr>
    </vt:vector>
  </TitlesOfParts>
  <Company>Hewlett-Packard Company</Company>
  <LinksUpToDate>false</LinksUpToDate>
  <CharactersWithSpaces>59020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“Cuenta Pública del Estado de México: 2020”.</dc:title>
  <dc:creator>Mauricio Troncoso</dc:creator>
  <cp:lastModifiedBy>Z400</cp:lastModifiedBy>
  <cp:revision>2</cp:revision>
  <cp:lastPrinted>2022-03-31T23:21:00Z</cp:lastPrinted>
  <dcterms:created xsi:type="dcterms:W3CDTF">2022-03-31T23:30:00Z</dcterms:created>
  <dcterms:modified xsi:type="dcterms:W3CDTF">2022-03-31T23:30:00Z</dcterms:modified>
</cp:coreProperties>
</file>